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微软雅黑" w:hAnsi="微软雅黑" w:eastAsia="微软雅黑" w:cs="方正小标宋简体"/>
          <w:sz w:val="48"/>
          <w:szCs w:val="40"/>
        </w:rPr>
      </w:pPr>
      <w:bookmarkStart w:id="0" w:name="_Hlk535245005"/>
      <w:bookmarkEnd w:id="0"/>
      <w:bookmarkStart w:id="1" w:name="_top"/>
      <w:bookmarkEnd w:id="1"/>
    </w:p>
    <w:p>
      <w:pPr>
        <w:spacing w:line="480" w:lineRule="auto"/>
        <w:jc w:val="center"/>
        <w:rPr>
          <w:rFonts w:hint="eastAsia" w:ascii="微软雅黑" w:hAnsi="微软雅黑" w:eastAsia="微软雅黑" w:cs="方正小标宋简体"/>
          <w:sz w:val="48"/>
          <w:szCs w:val="40"/>
          <w:lang w:eastAsia="zh-CN"/>
        </w:rPr>
      </w:pPr>
      <w:r>
        <w:rPr>
          <w:rFonts w:hint="eastAsia" w:ascii="微软雅黑" w:hAnsi="微软雅黑" w:eastAsia="微软雅黑" w:cs="方正小标宋简体"/>
          <w:sz w:val="48"/>
          <w:szCs w:val="40"/>
          <w:lang w:eastAsia="zh-CN"/>
        </w:rPr>
        <w:drawing>
          <wp:inline distT="0" distB="0" distL="114300" distR="114300">
            <wp:extent cx="2540635" cy="720090"/>
            <wp:effectExtent l="0" t="0" r="12065" b="3810"/>
            <wp:docPr id="5" name="图片 5" descr="横版logo（原色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横版logo（原色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微软雅黑" w:hAnsi="微软雅黑" w:eastAsia="微软雅黑" w:cs="方正小标宋简体"/>
          <w:sz w:val="48"/>
          <w:szCs w:val="40"/>
        </w:rPr>
      </w:pPr>
    </w:p>
    <w:p>
      <w:pPr>
        <w:spacing w:line="480" w:lineRule="auto"/>
        <w:jc w:val="center"/>
        <w:rPr>
          <w:rFonts w:ascii="微软雅黑" w:hAnsi="微软雅黑" w:eastAsia="微软雅黑" w:cs="方正小标宋简体"/>
          <w:sz w:val="48"/>
          <w:szCs w:val="40"/>
        </w:rPr>
      </w:pPr>
      <w:r>
        <w:rPr>
          <w:rFonts w:hint="eastAsia" w:ascii="微软雅黑" w:hAnsi="微软雅黑" w:eastAsia="微软雅黑" w:cs="方正小标宋简体"/>
          <w:sz w:val="48"/>
          <w:szCs w:val="40"/>
        </w:rPr>
        <w:t>20</w:t>
      </w:r>
      <w:r>
        <w:rPr>
          <w:rFonts w:ascii="微软雅黑" w:hAnsi="微软雅黑" w:eastAsia="微软雅黑" w:cs="方正小标宋简体"/>
          <w:sz w:val="48"/>
          <w:szCs w:val="40"/>
        </w:rPr>
        <w:t>2</w:t>
      </w:r>
      <w:r>
        <w:rPr>
          <w:rFonts w:hint="eastAsia" w:ascii="微软雅黑" w:hAnsi="微软雅黑" w:eastAsia="微软雅黑" w:cs="方正小标宋简体"/>
          <w:sz w:val="48"/>
          <w:szCs w:val="40"/>
          <w:lang w:val="en-US" w:eastAsia="zh-CN"/>
        </w:rPr>
        <w:t>6</w:t>
      </w:r>
      <w:r>
        <w:rPr>
          <w:rFonts w:hint="eastAsia" w:ascii="微软雅黑" w:hAnsi="微软雅黑" w:eastAsia="微软雅黑" w:cs="方正小标宋简体"/>
          <w:sz w:val="48"/>
          <w:szCs w:val="40"/>
        </w:rPr>
        <w:t>年第</w:t>
      </w:r>
      <w:r>
        <w:rPr>
          <w:rFonts w:hint="eastAsia" w:ascii="微软雅黑" w:hAnsi="微软雅黑" w:eastAsia="微软雅黑" w:cs="方正小标宋简体"/>
          <w:sz w:val="48"/>
          <w:szCs w:val="40"/>
          <w:lang w:val="en-US" w:eastAsia="zh-CN"/>
        </w:rPr>
        <w:t>二</w:t>
      </w:r>
      <w:r>
        <w:rPr>
          <w:rFonts w:hint="eastAsia" w:ascii="微软雅黑" w:hAnsi="微软雅黑" w:eastAsia="微软雅黑" w:cs="方正小标宋简体"/>
          <w:sz w:val="48"/>
          <w:szCs w:val="40"/>
        </w:rPr>
        <w:t>季度</w:t>
      </w:r>
    </w:p>
    <w:p>
      <w:pPr>
        <w:spacing w:line="480" w:lineRule="auto"/>
        <w:jc w:val="center"/>
        <w:rPr>
          <w:rFonts w:ascii="微软雅黑" w:hAnsi="微软雅黑" w:eastAsia="微软雅黑" w:cs="方正小标宋简体"/>
          <w:sz w:val="72"/>
          <w:szCs w:val="36"/>
        </w:rPr>
      </w:pPr>
      <w:r>
        <w:rPr>
          <w:rFonts w:hint="eastAsia" w:ascii="微软雅黑" w:hAnsi="微软雅黑" w:eastAsia="微软雅黑" w:cs="方正小标宋简体"/>
          <w:sz w:val="72"/>
          <w:szCs w:val="36"/>
          <w:lang w:val="en-US" w:eastAsia="zh-CN"/>
        </w:rPr>
        <w:t>国际</w:t>
      </w:r>
      <w:r>
        <w:rPr>
          <w:rFonts w:hint="eastAsia" w:ascii="微软雅黑" w:hAnsi="微软雅黑" w:eastAsia="微软雅黑" w:cs="方正小标宋简体"/>
          <w:sz w:val="72"/>
          <w:szCs w:val="36"/>
        </w:rPr>
        <w:t>微笑儿童</w:t>
      </w:r>
      <w:r>
        <w:rPr>
          <w:rFonts w:hint="eastAsia" w:ascii="微软雅黑" w:hAnsi="微软雅黑" w:eastAsia="微软雅黑" w:cs="方正小标宋简体"/>
          <w:sz w:val="72"/>
          <w:szCs w:val="36"/>
          <w:lang w:val="en-US" w:eastAsia="zh-CN"/>
        </w:rPr>
        <w:t>供餐</w:t>
      </w:r>
      <w:r>
        <w:rPr>
          <w:rFonts w:hint="eastAsia" w:ascii="微软雅黑" w:hAnsi="微软雅黑" w:eastAsia="微软雅黑" w:cs="方正小标宋简体"/>
          <w:sz w:val="72"/>
          <w:szCs w:val="36"/>
        </w:rPr>
        <w:t>项目</w:t>
      </w:r>
    </w:p>
    <w:p>
      <w:pPr>
        <w:spacing w:line="480" w:lineRule="auto"/>
        <w:jc w:val="center"/>
        <w:rPr>
          <w:rFonts w:ascii="微软雅黑" w:hAnsi="微软雅黑" w:eastAsia="微软雅黑" w:cs="方正小标宋简体"/>
          <w:sz w:val="72"/>
          <w:szCs w:val="40"/>
        </w:rPr>
      </w:pPr>
      <w:r>
        <w:rPr>
          <w:rFonts w:hint="eastAsia" w:ascii="微软雅黑" w:hAnsi="微软雅黑" w:eastAsia="微软雅黑" w:cs="方正小标宋简体"/>
          <w:sz w:val="72"/>
          <w:szCs w:val="40"/>
        </w:rPr>
        <w:t>总结报告</w:t>
      </w:r>
    </w:p>
    <w:p>
      <w:pPr>
        <w:spacing w:line="480" w:lineRule="auto"/>
        <w:rPr>
          <w:rFonts w:ascii="微软雅黑" w:hAnsi="微软雅黑" w:eastAsia="微软雅黑" w:cs="方正小标宋简体"/>
          <w:sz w:val="40"/>
          <w:szCs w:val="36"/>
        </w:rPr>
      </w:pPr>
    </w:p>
    <w:p>
      <w:pPr>
        <w:spacing w:line="480" w:lineRule="auto"/>
        <w:jc w:val="center"/>
        <w:rPr>
          <w:rFonts w:ascii="微软雅黑" w:hAnsi="微软雅黑" w:eastAsia="微软雅黑" w:cs="方正小标宋简体"/>
          <w:sz w:val="36"/>
          <w:szCs w:val="36"/>
        </w:rPr>
      </w:pPr>
      <w:r>
        <w:rPr>
          <w:rFonts w:ascii="微软雅黑" w:hAnsi="微软雅黑" w:eastAsia="微软雅黑" w:cs="方正小标宋简体"/>
          <w:sz w:val="36"/>
          <w:szCs w:val="36"/>
        </w:rPr>
        <w:drawing>
          <wp:inline distT="0" distB="0" distL="0" distR="0">
            <wp:extent cx="4756150" cy="2047875"/>
            <wp:effectExtent l="0" t="0" r="6350" b="9525"/>
            <wp:docPr id="2" name="图片 2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微软雅黑" w:hAnsi="微软雅黑" w:eastAsia="微软雅黑" w:cs="方正小标宋简体"/>
          <w:sz w:val="36"/>
          <w:szCs w:val="36"/>
        </w:rPr>
      </w:pPr>
    </w:p>
    <w:p>
      <w:pPr>
        <w:rPr>
          <w:rFonts w:ascii="微软雅黑" w:hAnsi="微软雅黑" w:eastAsia="微软雅黑" w:cs="宋体"/>
          <w:b/>
          <w:bCs/>
          <w:kern w:val="0"/>
          <w:sz w:val="36"/>
          <w:szCs w:val="28"/>
        </w:rPr>
      </w:pPr>
      <w:r>
        <w:rPr>
          <w:rFonts w:ascii="微软雅黑" w:hAnsi="微软雅黑" w:eastAsia="微软雅黑" w:cs="宋体"/>
          <w:b/>
          <w:bCs/>
          <w:kern w:val="0"/>
          <w:sz w:val="36"/>
          <w:szCs w:val="28"/>
        </w:rPr>
        <w:br w:type="page"/>
      </w:r>
    </w:p>
    <w:p>
      <w:pPr>
        <w:jc w:val="center"/>
        <w:rPr>
          <w:rFonts w:ascii="微软雅黑" w:hAnsi="微软雅黑" w:eastAsia="微软雅黑" w:cs="宋体"/>
          <w:b/>
          <w:bCs/>
          <w:kern w:val="0"/>
          <w:sz w:val="36"/>
          <w:szCs w:val="28"/>
        </w:rPr>
      </w:pPr>
    </w:p>
    <w:p>
      <w:pPr>
        <w:jc w:val="center"/>
        <w:rPr>
          <w:rFonts w:ascii="微软雅黑" w:hAnsi="微软雅黑" w:eastAsia="微软雅黑" w:cs="宋体"/>
          <w:b/>
          <w:bCs/>
          <w:kern w:val="0"/>
          <w:sz w:val="36"/>
          <w:szCs w:val="28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6"/>
          <w:szCs w:val="28"/>
        </w:rPr>
        <w:t>目录</w:t>
      </w:r>
    </w:p>
    <w:p>
      <w:pPr>
        <w:jc w:val="center"/>
        <w:rPr>
          <w:rFonts w:ascii="微软雅黑" w:hAnsi="微软雅黑" w:eastAsia="微软雅黑" w:cs="宋体"/>
          <w:b/>
          <w:bCs/>
          <w:kern w:val="0"/>
          <w:sz w:val="28"/>
          <w:szCs w:val="28"/>
        </w:rPr>
      </w:pPr>
    </w:p>
    <w:p>
      <w:pPr>
        <w:pStyle w:val="1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6" w:hanging="426"/>
        <w:textAlignment w:val="auto"/>
        <w:rPr>
          <w:rStyle w:val="10"/>
          <w:rFonts w:hint="eastAsia" w:ascii="微软雅黑" w:hAnsi="微软雅黑" w:eastAsia="微软雅黑" w:cs="Times New Roman"/>
          <w:b/>
          <w:color w:val="auto"/>
          <w:sz w:val="28"/>
          <w:u w:val="none"/>
          <w:lang w:val="en-US" w:eastAsia="zh-CN"/>
        </w:rPr>
      </w:pPr>
      <w:r>
        <w:rPr>
          <w:rStyle w:val="10"/>
          <w:rFonts w:hint="eastAsia" w:ascii="微软雅黑" w:hAnsi="微软雅黑" w:eastAsia="微软雅黑" w:cs="Times New Roman"/>
          <w:b/>
          <w:color w:val="auto"/>
          <w:sz w:val="28"/>
          <w:u w:val="none"/>
          <w:lang w:val="en-US" w:eastAsia="zh-CN"/>
        </w:rPr>
        <w:t>国际微笑儿童供餐项目介绍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 w:leftChars="202"/>
        <w:textAlignment w:val="auto"/>
        <w:rPr>
          <w:rStyle w:val="10"/>
          <w:rFonts w:hint="default" w:ascii="微软雅黑" w:hAnsi="微软雅黑" w:eastAsia="微软雅黑"/>
          <w:color w:val="auto"/>
          <w:sz w:val="28"/>
          <w:u w:val="none"/>
          <w:lang w:val="en-US" w:eastAsia="zh-CN"/>
        </w:rPr>
      </w:pP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eastAsia="zh-CN"/>
        </w:rPr>
        <w:t>（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一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eastAsia="zh-CN"/>
        </w:rPr>
        <w:t>）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项目介绍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 w:leftChars="202"/>
        <w:textAlignment w:val="auto"/>
        <w:rPr>
          <w:rStyle w:val="10"/>
          <w:rFonts w:hint="default" w:ascii="微软雅黑" w:hAnsi="微软雅黑" w:eastAsia="微软雅黑"/>
          <w:color w:val="auto"/>
          <w:sz w:val="28"/>
          <w:u w:val="none"/>
          <w:lang w:val="en-US" w:eastAsia="zh-CN"/>
        </w:rPr>
      </w:pP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eastAsia="zh-CN"/>
        </w:rPr>
        <w:t>（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二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eastAsia="zh-CN"/>
        </w:rPr>
        <w:t>）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项目简要进展</w:t>
      </w:r>
    </w:p>
    <w:p>
      <w:pPr>
        <w:pStyle w:val="13"/>
        <w:numPr>
          <w:ilvl w:val="0"/>
          <w:numId w:val="1"/>
        </w:numPr>
        <w:spacing w:line="276" w:lineRule="auto"/>
        <w:ind w:left="426" w:hanging="426"/>
        <w:rPr>
          <w:rStyle w:val="10"/>
          <w:rFonts w:hint="eastAsia" w:ascii="微软雅黑" w:hAnsi="微软雅黑" w:eastAsia="微软雅黑" w:cs="Times New Roman"/>
          <w:b/>
          <w:color w:val="auto"/>
          <w:sz w:val="28"/>
          <w:u w:val="none"/>
        </w:rPr>
      </w:pPr>
      <w:r>
        <w:rPr>
          <w:rStyle w:val="10"/>
          <w:rFonts w:hint="eastAsia" w:ascii="微软雅黑" w:hAnsi="微软雅黑" w:eastAsia="微软雅黑" w:cs="Times New Roman"/>
          <w:b/>
          <w:color w:val="auto"/>
          <w:sz w:val="28"/>
          <w:u w:val="none"/>
          <w:lang w:val="en-US" w:eastAsia="zh-CN"/>
        </w:rPr>
        <w:t>财务情况</w:t>
      </w:r>
    </w:p>
    <w:p>
      <w:pPr>
        <w:pStyle w:val="1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6" w:hanging="426"/>
        <w:textAlignment w:val="auto"/>
        <w:rPr>
          <w:rStyle w:val="10"/>
          <w:rFonts w:ascii="微软雅黑" w:hAnsi="微软雅黑" w:eastAsia="微软雅黑"/>
          <w:b/>
          <w:color w:val="auto"/>
          <w:sz w:val="28"/>
          <w:u w:val="none"/>
        </w:rPr>
      </w:pPr>
      <w:r>
        <w:rPr>
          <w:rStyle w:val="10"/>
          <w:rFonts w:hint="eastAsia" w:ascii="微软雅黑" w:hAnsi="微软雅黑" w:eastAsia="微软雅黑"/>
          <w:b/>
          <w:color w:val="auto"/>
          <w:sz w:val="28"/>
          <w:u w:val="none"/>
          <w:lang w:val="en-US" w:eastAsia="zh-CN"/>
        </w:rPr>
        <w:t>项目进展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20" w:firstLineChars="0"/>
        <w:textAlignment w:val="auto"/>
        <w:rPr>
          <w:rStyle w:val="10"/>
          <w:rFonts w:hint="default" w:ascii="微软雅黑" w:hAnsi="微软雅黑" w:eastAsia="微软雅黑"/>
          <w:color w:val="auto"/>
          <w:sz w:val="28"/>
          <w:u w:val="none"/>
          <w:lang w:val="en-US" w:eastAsia="zh-CN"/>
        </w:rPr>
      </w:pP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（一）埃塞俄比亚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/>
        <w:textAlignment w:val="auto"/>
        <w:rPr>
          <w:rStyle w:val="10"/>
          <w:rFonts w:hint="default" w:ascii="微软雅黑" w:hAnsi="微软雅黑" w:eastAsia="微软雅黑"/>
          <w:color w:val="auto"/>
          <w:sz w:val="28"/>
          <w:u w:val="none"/>
          <w:lang w:val="en-US" w:eastAsia="zh-CN"/>
        </w:rPr>
      </w:pP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eastAsia="zh-CN"/>
        </w:rPr>
        <w:t>（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二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eastAsia="zh-CN"/>
        </w:rPr>
        <w:t>）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尼泊尔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/>
        <w:textAlignment w:val="auto"/>
        <w:rPr>
          <w:rStyle w:val="10"/>
          <w:rFonts w:hint="default" w:ascii="微软雅黑" w:hAnsi="微软雅黑" w:eastAsia="微软雅黑"/>
          <w:color w:val="auto"/>
          <w:sz w:val="28"/>
          <w:u w:val="none"/>
          <w:lang w:val="en-US" w:eastAsia="zh-CN"/>
        </w:rPr>
      </w:pP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eastAsia="zh-CN"/>
        </w:rPr>
        <w:t>（</w:t>
      </w: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三）缅甸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/>
        <w:textAlignment w:val="auto"/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</w:pPr>
      <w:r>
        <w:rPr>
          <w:rStyle w:val="10"/>
          <w:rFonts w:hint="eastAsia" w:ascii="微软雅黑" w:hAnsi="微软雅黑" w:eastAsia="微软雅黑"/>
          <w:color w:val="auto"/>
          <w:sz w:val="28"/>
          <w:u w:val="none"/>
          <w:lang w:val="en-US" w:eastAsia="zh-CN"/>
        </w:rPr>
        <w:t>（四）刚果（金）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/>
        <w:textAlignment w:val="auto"/>
        <w:rPr>
          <w:rStyle w:val="10"/>
          <w:rFonts w:hint="default" w:ascii="微软雅黑" w:hAnsi="微软雅黑" w:eastAsia="微软雅黑"/>
          <w:color w:val="auto"/>
          <w:sz w:val="28"/>
          <w:u w:val="none"/>
          <w:lang w:val="en-US" w:eastAsia="zh-CN"/>
        </w:rPr>
      </w:pPr>
    </w:p>
    <w:p>
      <w:pPr>
        <w:widowControl/>
        <w:jc w:val="left"/>
        <w:rPr>
          <w:rFonts w:ascii="微软雅黑" w:hAnsi="微软雅黑" w:eastAsia="微软雅黑" w:cs="宋体"/>
          <w:b/>
          <w:bCs/>
          <w:sz w:val="24"/>
        </w:rPr>
        <w:sectPr>
          <w:footerReference r:id="rId3" w:type="default"/>
          <w:pgSz w:w="11850" w:h="16783"/>
          <w:pgMar w:top="1440" w:right="1440" w:bottom="1440" w:left="1440" w:header="851" w:footer="992" w:gutter="0"/>
          <w:pgNumType w:start="1"/>
          <w:cols w:space="0" w:num="1"/>
          <w:docGrid w:type="lines" w:linePitch="312" w:charSpace="0"/>
        </w:sectPr>
      </w:pPr>
      <w:r>
        <w:rPr>
          <w:rStyle w:val="10"/>
          <w:rFonts w:ascii="微软雅黑" w:hAnsi="微软雅黑" w:eastAsia="微软雅黑"/>
          <w:color w:val="auto"/>
          <w:sz w:val="28"/>
          <w:u w:val="none"/>
        </w:rPr>
        <w:br w:type="page"/>
      </w:r>
      <w:bookmarkStart w:id="2" w:name="_Toc214_WPSOffice_Level1"/>
    </w:p>
    <w:p>
      <w:pPr>
        <w:numPr>
          <w:ilvl w:val="0"/>
          <w:numId w:val="2"/>
        </w:numPr>
        <w:spacing w:line="360" w:lineRule="auto"/>
        <w:jc w:val="left"/>
        <w:outlineLvl w:val="0"/>
        <w:rPr>
          <w:rFonts w:ascii="微软雅黑" w:hAnsi="微软雅黑" w:eastAsia="微软雅黑" w:cs="宋体"/>
          <w:b/>
          <w:bCs/>
          <w:sz w:val="24"/>
        </w:rPr>
      </w:pPr>
      <w:r>
        <w:rPr>
          <w:rFonts w:hint="eastAsia" w:ascii="微软雅黑" w:hAnsi="微软雅黑" w:eastAsia="微软雅黑" w:cs="宋体"/>
          <w:b/>
          <w:bCs/>
          <w:sz w:val="24"/>
        </w:rPr>
        <w:t>国际</w:t>
      </w:r>
      <w:r>
        <w:rPr>
          <w:rFonts w:hint="eastAsia" w:ascii="微软雅黑" w:hAnsi="微软雅黑" w:eastAsia="微软雅黑" w:cs="宋体"/>
          <w:b/>
          <w:bCs/>
          <w:sz w:val="24"/>
          <w:lang w:val="en-US" w:eastAsia="zh-CN"/>
        </w:rPr>
        <w:t>微笑儿童供餐</w:t>
      </w:r>
      <w:r>
        <w:rPr>
          <w:rFonts w:hint="eastAsia" w:ascii="微软雅黑" w:hAnsi="微软雅黑" w:eastAsia="微软雅黑" w:cs="宋体"/>
          <w:b/>
          <w:bCs/>
          <w:sz w:val="24"/>
        </w:rPr>
        <w:t>项目</w:t>
      </w:r>
      <w:bookmarkEnd w:id="2"/>
      <w:r>
        <w:rPr>
          <w:rFonts w:hint="eastAsia" w:ascii="微软雅黑" w:hAnsi="微软雅黑" w:eastAsia="微软雅黑" w:cs="宋体"/>
          <w:b/>
          <w:bCs/>
          <w:sz w:val="24"/>
          <w:lang w:val="en-US" w:eastAsia="zh-CN"/>
        </w:rPr>
        <w:t>介绍</w:t>
      </w:r>
    </w:p>
    <w:p>
      <w:pPr>
        <w:pStyle w:val="13"/>
        <w:numPr>
          <w:ilvl w:val="0"/>
          <w:numId w:val="3"/>
        </w:numPr>
        <w:spacing w:line="360" w:lineRule="auto"/>
        <w:jc w:val="both"/>
        <w:rPr>
          <w:rFonts w:ascii="微软雅黑" w:hAnsi="微软雅黑" w:eastAsia="微软雅黑" w:cs="宋体"/>
          <w:b/>
          <w:sz w:val="24"/>
          <w:szCs w:val="24"/>
          <w:lang w:eastAsia="zh-CN"/>
        </w:rPr>
      </w:pPr>
      <w:r>
        <w:rPr>
          <w:rFonts w:hint="eastAsia" w:ascii="微软雅黑" w:hAnsi="微软雅黑" w:eastAsia="微软雅黑" w:cs="宋体"/>
          <w:b/>
          <w:sz w:val="24"/>
          <w:szCs w:val="24"/>
          <w:lang w:eastAsia="zh-CN"/>
        </w:rPr>
        <w:t>项目介绍</w:t>
      </w:r>
    </w:p>
    <w:p>
      <w:pPr>
        <w:pStyle w:val="2"/>
        <w:ind w:firstLine="547" w:firstLineChars="228"/>
        <w:rPr>
          <w:rFonts w:hint="eastAsia" w:ascii="微软雅黑" w:hAnsi="微软雅黑" w:eastAsia="微软雅黑" w:cs="宋体"/>
          <w:b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宋体"/>
          <w:b w:val="0"/>
          <w:kern w:val="0"/>
          <w:sz w:val="24"/>
          <w:szCs w:val="24"/>
          <w:highlight w:val="none"/>
          <w:lang w:val="en-US" w:eastAsia="zh-CN" w:bidi="ar-SA"/>
        </w:rPr>
        <w:t>针对一些发展中国家儿童面临的饥饿和营养不良问题，中国乡村发展基金会于2015年启动国际微笑儿童供餐项目，通过学校供餐（或粮食发放）、供餐相关设施援助等措施，帮助受饥儿童健康成长与发展，传递中国人民的爱心，助力民心相通。</w:t>
      </w:r>
    </w:p>
    <w:p>
      <w:pPr>
        <w:pStyle w:val="13"/>
        <w:numPr>
          <w:ilvl w:val="0"/>
          <w:numId w:val="3"/>
        </w:numPr>
        <w:spacing w:line="360" w:lineRule="auto"/>
        <w:jc w:val="both"/>
        <w:rPr>
          <w:rFonts w:ascii="微软雅黑" w:hAnsi="微软雅黑" w:eastAsia="微软雅黑" w:cs="宋体"/>
          <w:b/>
          <w:sz w:val="24"/>
          <w:szCs w:val="24"/>
          <w:lang w:eastAsia="zh-CN"/>
        </w:rPr>
      </w:pPr>
      <w:r>
        <w:rPr>
          <w:rFonts w:hint="eastAsia" w:ascii="微软雅黑" w:hAnsi="微软雅黑" w:eastAsia="微软雅黑" w:cs="宋体"/>
          <w:b/>
          <w:sz w:val="24"/>
          <w:szCs w:val="24"/>
          <w:lang w:eastAsia="zh-CN"/>
        </w:rPr>
        <w:t>项目简要进展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firstLine="320"/>
        <w:jc w:val="left"/>
        <w:rPr>
          <w:rFonts w:hint="eastAsia" w:ascii="微软雅黑" w:hAnsi="微软雅黑" w:eastAsia="微软雅黑" w:cs="宋体"/>
          <w:sz w:val="24"/>
          <w:szCs w:val="24"/>
          <w:highlight w:val="none"/>
          <w:lang w:val="en-US" w:eastAsia="zh-CN"/>
        </w:rPr>
      </w:pPr>
      <w:r>
        <w:rPr>
          <w:rFonts w:ascii="微软雅黑" w:hAnsi="微软雅黑" w:eastAsia="微软雅黑" w:cs="宋体"/>
          <w:sz w:val="24"/>
          <w:highlight w:val="none"/>
          <w:lang w:eastAsia="zh-CN"/>
        </w:rPr>
        <w:t>2</w:t>
      </w:r>
      <w:r>
        <w:rPr>
          <w:rFonts w:hint="eastAsia" w:ascii="微软雅黑" w:hAnsi="微软雅黑" w:eastAsia="微软雅黑" w:cs="宋体"/>
          <w:sz w:val="24"/>
          <w:highlight w:val="none"/>
          <w:lang w:eastAsia="zh-CN"/>
        </w:rPr>
        <w:t>02</w:t>
      </w:r>
      <w:r>
        <w:rPr>
          <w:rFonts w:hint="eastAsia" w:ascii="微软雅黑" w:hAnsi="微软雅黑" w:eastAsia="微软雅黑" w:cs="宋体"/>
          <w:sz w:val="24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宋体"/>
          <w:sz w:val="24"/>
          <w:highlight w:val="none"/>
          <w:lang w:eastAsia="zh-CN"/>
        </w:rPr>
        <w:t>年第</w:t>
      </w:r>
      <w:r>
        <w:rPr>
          <w:rFonts w:hint="eastAsia" w:ascii="微软雅黑" w:hAnsi="微软雅黑" w:eastAsia="微软雅黑" w:cs="宋体"/>
          <w:sz w:val="24"/>
          <w:highlight w:val="none"/>
          <w:lang w:val="en-US" w:eastAsia="zh-CN"/>
        </w:rPr>
        <w:t>二</w:t>
      </w:r>
      <w:r>
        <w:rPr>
          <w:rFonts w:hint="eastAsia" w:ascii="微软雅黑" w:hAnsi="微软雅黑" w:eastAsia="微软雅黑" w:cs="宋体"/>
          <w:sz w:val="24"/>
          <w:highlight w:val="none"/>
          <w:lang w:eastAsia="zh-CN"/>
        </w:rPr>
        <w:t>季度</w:t>
      </w:r>
      <w:r>
        <w:rPr>
          <w:rFonts w:hint="eastAsia" w:ascii="微软雅黑" w:hAnsi="微软雅黑" w:eastAsia="微软雅黑" w:cs="宋体"/>
          <w:sz w:val="24"/>
          <w:szCs w:val="24"/>
          <w:highlight w:val="none"/>
          <w:lang w:val="en-US" w:eastAsia="zh-CN"/>
        </w:rPr>
        <w:t>，国际微笑儿童项目在埃塞俄比亚、尼泊尔、缅甸、刚果（金）执行，受益人次22110人。此外，还与世界粮食计划署合作在老挝、柬埔寨开展学校供餐。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firstLine="320"/>
        <w:jc w:val="left"/>
        <w:rPr>
          <w:rFonts w:hint="eastAsia" w:ascii="微软雅黑" w:hAnsi="微软雅黑" w:eastAsia="微软雅黑" w:cs="宋体"/>
          <w:sz w:val="24"/>
          <w:szCs w:val="24"/>
          <w:highlight w:val="none"/>
          <w:lang w:val="en-US" w:eastAsia="zh-CN"/>
        </w:rPr>
      </w:pPr>
    </w:p>
    <w:p>
      <w:pPr>
        <w:pStyle w:val="13"/>
        <w:numPr>
          <w:ilvl w:val="0"/>
          <w:numId w:val="4"/>
        </w:numPr>
        <w:spacing w:line="360" w:lineRule="auto"/>
        <w:rPr>
          <w:rFonts w:ascii="微软雅黑" w:hAnsi="微软雅黑" w:eastAsia="微软雅黑" w:cs="宋体"/>
          <w:b/>
          <w:bCs/>
          <w:sz w:val="24"/>
        </w:rPr>
      </w:pPr>
      <w:r>
        <w:rPr>
          <w:rFonts w:hint="eastAsia" w:ascii="微软雅黑" w:hAnsi="微软雅黑" w:eastAsia="微软雅黑" w:cs="宋体"/>
          <w:b/>
          <w:bCs/>
          <w:sz w:val="24"/>
        </w:rPr>
        <w:t>财务情况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firstLine="320"/>
        <w:jc w:val="left"/>
        <w:rPr>
          <w:rFonts w:hint="eastAsia" w:ascii="微软雅黑" w:hAnsi="微软雅黑" w:eastAsia="微软雅黑" w:cs="宋体"/>
          <w:sz w:val="24"/>
          <w:szCs w:val="24"/>
          <w:highlight w:val="none"/>
          <w:lang w:val="en-US" w:eastAsia="zh-CN"/>
        </w:rPr>
      </w:pPr>
      <w:bookmarkStart w:id="3" w:name="_GoBack"/>
      <w:r>
        <w:rPr>
          <w:rFonts w:hint="eastAsia" w:ascii="微软雅黑" w:hAnsi="微软雅黑" w:eastAsia="微软雅黑" w:cs="宋体"/>
          <w:sz w:val="24"/>
          <w:szCs w:val="24"/>
          <w:highlight w:val="none"/>
          <w:lang w:val="en-US" w:eastAsia="zh-CN"/>
        </w:rPr>
        <w:t>2026年第二季度项目收入</w:t>
      </w:r>
      <w:r>
        <w:rPr>
          <w:rFonts w:hint="default" w:ascii="微软雅黑" w:hAnsi="微软雅黑" w:eastAsia="微软雅黑" w:cs="宋体"/>
          <w:sz w:val="24"/>
          <w:szCs w:val="24"/>
          <w:highlight w:val="none"/>
          <w:lang w:eastAsia="zh-CN"/>
        </w:rPr>
        <w:t>3574625.75</w:t>
      </w:r>
      <w:r>
        <w:rPr>
          <w:rFonts w:hint="eastAsia" w:ascii="微软雅黑" w:hAnsi="微软雅黑" w:eastAsia="微软雅黑" w:cs="宋体"/>
          <w:sz w:val="24"/>
          <w:szCs w:val="24"/>
          <w:highlight w:val="none"/>
          <w:lang w:val="en-US" w:eastAsia="zh-CN"/>
        </w:rPr>
        <w:t>元，支出</w:t>
      </w:r>
      <w:r>
        <w:rPr>
          <w:rFonts w:hint="default" w:ascii="微软雅黑" w:hAnsi="微软雅黑" w:eastAsia="微软雅黑" w:cs="宋体"/>
          <w:sz w:val="24"/>
          <w:szCs w:val="24"/>
          <w:highlight w:val="none"/>
          <w:lang w:eastAsia="zh-CN"/>
        </w:rPr>
        <w:t>1456929.21</w:t>
      </w:r>
      <w:r>
        <w:rPr>
          <w:rFonts w:hint="eastAsia" w:ascii="微软雅黑" w:hAnsi="微软雅黑" w:eastAsia="微软雅黑" w:cs="宋体"/>
          <w:sz w:val="24"/>
          <w:szCs w:val="24"/>
          <w:highlight w:val="none"/>
          <w:lang w:val="en-US" w:eastAsia="zh-CN"/>
        </w:rPr>
        <w:t>元。</w:t>
      </w:r>
    </w:p>
    <w:bookmarkEnd w:id="3"/>
    <w:p>
      <w:pPr>
        <w:pStyle w:val="13"/>
        <w:spacing w:line="360" w:lineRule="auto"/>
        <w:ind w:left="1" w:firstLine="480" w:firstLineChars="200"/>
        <w:rPr>
          <w:rFonts w:hint="default" w:ascii="微软雅黑" w:hAnsi="微软雅黑" w:eastAsia="微软雅黑" w:cs="宋体"/>
          <w:sz w:val="24"/>
          <w:highlight w:val="none"/>
          <w:lang w:val="en-US" w:eastAsia="zh-CN"/>
        </w:rPr>
      </w:pPr>
    </w:p>
    <w:p>
      <w:pPr>
        <w:pStyle w:val="13"/>
        <w:numPr>
          <w:ilvl w:val="0"/>
          <w:numId w:val="4"/>
        </w:numPr>
        <w:spacing w:line="240" w:lineRule="auto"/>
        <w:rPr>
          <w:rFonts w:ascii="微软雅黑" w:hAnsi="微软雅黑" w:eastAsia="微软雅黑" w:cs="宋体"/>
          <w:b/>
          <w:bCs/>
          <w:sz w:val="24"/>
        </w:rPr>
      </w:pPr>
      <w:r>
        <w:rPr>
          <w:rFonts w:hint="eastAsia" w:ascii="微软雅黑" w:hAnsi="微软雅黑" w:eastAsia="微软雅黑" w:cs="宋体"/>
          <w:b/>
          <w:bCs/>
          <w:sz w:val="24"/>
          <w:lang w:eastAsia="zh-CN"/>
        </w:rPr>
        <w:t>项目进展</w:t>
      </w:r>
    </w:p>
    <w:p>
      <w:pPr>
        <w:numPr>
          <w:ilvl w:val="0"/>
          <w:numId w:val="5"/>
        </w:numPr>
        <w:spacing w:before="156" w:beforeLines="50" w:after="156" w:afterLines="50" w:line="240" w:lineRule="auto"/>
        <w:ind w:firstLine="420"/>
        <w:rPr>
          <w:rFonts w:hint="eastAsia" w:ascii="微软雅黑" w:hAnsi="微软雅黑" w:eastAsia="微软雅黑" w:cs="宋体"/>
          <w:b/>
          <w:sz w:val="24"/>
        </w:rPr>
      </w:pPr>
      <w:r>
        <w:rPr>
          <w:rFonts w:hint="eastAsia" w:ascii="微软雅黑" w:hAnsi="微软雅黑" w:eastAsia="微软雅黑" w:cs="宋体"/>
          <w:b/>
          <w:sz w:val="24"/>
        </w:rPr>
        <w:t>埃塞俄比亚</w:t>
      </w:r>
    </w:p>
    <w:p>
      <w:pPr>
        <w:snapToGrid w:val="0"/>
        <w:spacing w:line="360" w:lineRule="auto"/>
        <w:ind w:left="0" w:leftChars="0" w:firstLine="480" w:firstLineChars="200"/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 xml:space="preserve">2026 年第二季度，国际微笑儿童供餐项目在埃塞俄比亚阿姆哈拉州、奥罗米亚州稳步开展。分布在7所学校的8004名学生、260名老师都吃上了一日两顿校园餐，60名供餐妈妈团成员从中获得工作和收入。在校园里建设的菜园、鸡舍等供餐相关设施，让供餐逐步探索迈向可持续发展。 </w:t>
      </w:r>
    </w:p>
    <w:p>
      <w:pPr>
        <w:snapToGrid w:val="0"/>
        <w:spacing w:line="360" w:lineRule="auto"/>
        <w:ind w:left="0" w:leftChars="0" w:firstLine="480" w:firstLineChars="200"/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在奥罗米亚州贝克勒查小学，该项目为600名学生发放了可使用3个月的粮食包，缓解学生及其家庭的粮食危机和经济困难。</w:t>
      </w:r>
    </w:p>
    <w:p>
      <w:pPr>
        <w:snapToGrid w:val="0"/>
        <w:spacing w:line="360" w:lineRule="auto"/>
        <w:ind w:left="0" w:leftChars="0" w:firstLine="480" w:firstLineChars="200"/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项目团队对埃塞多所学校进行项目管理能力建设培训，来自主管部门、合作伙伴及6 所受益学校的45名代表参训。培训围绕可持续供餐、校园建设、社区运营授课，结合实地观摩食堂、种养基地等场地，经课程学习与分组研讨，各校拟定落地优化方案。本次培训夯实实操能力，助推本土化长效供餐体系建设。</w:t>
      </w:r>
    </w:p>
    <w:p>
      <w:pPr>
        <w:snapToGrid w:val="0"/>
        <w:spacing w:line="360" w:lineRule="auto"/>
        <w:ind w:left="0" w:leftChars="0" w:firstLine="0" w:firstLineChars="0"/>
        <w:jc w:val="center"/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3"/>
        <w:gridCol w:w="4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4" w:hRule="atLeast"/>
        </w:trPr>
        <w:tc>
          <w:tcPr>
            <w:tcW w:w="4593" w:type="dxa"/>
          </w:tcPr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648585" cy="1766570"/>
                  <wp:effectExtent l="0" t="0" r="5715" b="11430"/>
                  <wp:docPr id="4" name="图片 4" descr="IMG_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11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585" cy="176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  <w:t>▲受益学生在用餐</w:t>
            </w:r>
          </w:p>
        </w:tc>
        <w:tc>
          <w:tcPr>
            <w:tcW w:w="4593" w:type="dxa"/>
          </w:tcPr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eastAsia" w:ascii="宋体" w:hAnsi="宋体" w:eastAsia="宋体" w:cs="宋体"/>
                <w:i/>
                <w:i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kern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621915" cy="1748790"/>
                  <wp:effectExtent l="0" t="0" r="6985" b="3810"/>
                  <wp:docPr id="12" name="图片 12" descr="IMG_0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099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915" cy="174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  <w:t>▲供餐妈妈团在工作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3" w:type="dxa"/>
          </w:tcPr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eastAsia="zh-CN" w:bidi="ar"/>
                <w:woUserID w:val="1"/>
              </w:rPr>
              <w:drawing>
                <wp:inline distT="0" distB="0" distL="114300" distR="114300">
                  <wp:extent cx="2572385" cy="1717675"/>
                  <wp:effectExtent l="0" t="0" r="5715" b="952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85" cy="171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  <w:t>▲粮食发放现场</w:t>
            </w:r>
          </w:p>
        </w:tc>
        <w:tc>
          <w:tcPr>
            <w:tcW w:w="4593" w:type="dxa"/>
          </w:tcPr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588895" cy="1727835"/>
                  <wp:effectExtent l="0" t="0" r="1905" b="12065"/>
                  <wp:docPr id="3" name="图片 3" descr="lQDPIt3WfTEbcR3NDkDNFWCwaEGE4CPYnX8J05ItsBUsAA_5472_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DPIt3WfTEbcR3NDkDNFWCwaEGE4CPYnX8J05ItsBUsAA_5472_364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895" cy="172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  <w:t>▲培训合影</w:t>
            </w:r>
          </w:p>
        </w:tc>
      </w:tr>
    </w:tbl>
    <w:p>
      <w:pPr>
        <w:numPr>
          <w:ilvl w:val="0"/>
          <w:numId w:val="0"/>
        </w:numPr>
        <w:spacing w:before="156" w:beforeLines="50" w:after="156" w:afterLines="50" w:line="240" w:lineRule="auto"/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</w:p>
    <w:p>
      <w:pPr>
        <w:numPr>
          <w:ilvl w:val="0"/>
          <w:numId w:val="5"/>
        </w:numPr>
        <w:spacing w:before="156" w:beforeLines="50" w:after="156" w:afterLines="50" w:line="240" w:lineRule="auto"/>
        <w:ind w:left="0" w:leftChars="0" w:firstLine="420" w:firstLineChars="0"/>
        <w:rPr>
          <w:rFonts w:hint="eastAsia" w:ascii="微软雅黑" w:hAnsi="微软雅黑" w:eastAsia="微软雅黑" w:cs="宋体"/>
          <w:b/>
          <w:bCs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  <w:szCs w:val="22"/>
          <w:highlight w:val="none"/>
          <w:lang w:val="en-US" w:eastAsia="zh-CN" w:bidi="ar-SA"/>
        </w:rPr>
        <w:t>尼泊尔</w:t>
      </w:r>
    </w:p>
    <w:p>
      <w:pPr>
        <w:snapToGrid w:val="0"/>
        <w:spacing w:line="360" w:lineRule="auto"/>
        <w:ind w:left="0" w:leftChars="0" w:firstLine="480" w:firstLineChars="200"/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2026年第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二</w:t>
      </w: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季度，国际微笑儿童供餐项目持续在尼泊尔4个地区顺利运行。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分布在71所学校的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11039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名学生都吃上了一日两顿校园餐，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167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名供餐妈妈团成员从中获得工作和收入。</w:t>
      </w:r>
    </w:p>
    <w:p>
      <w:pPr>
        <w:numPr>
          <w:ilvl w:val="0"/>
          <w:numId w:val="0"/>
        </w:numPr>
        <w:snapToGrid w:val="0"/>
        <w:spacing w:line="360" w:lineRule="auto"/>
        <w:ind w:leftChars="0" w:firstLine="480" w:firstLineChars="200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</w:pP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多所供餐学校建起了菜园，由供餐妈妈团、社区民众以及学生们共同照料和管理。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菜园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的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运营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使学校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实现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了蔬菜的大量自产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，有效削减餐食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的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采购开支。</w:t>
      </w:r>
    </w:p>
    <w:p>
      <w:pPr>
        <w:numPr>
          <w:ilvl w:val="0"/>
          <w:numId w:val="0"/>
        </w:numPr>
        <w:snapToGrid w:val="0"/>
        <w:spacing w:line="360" w:lineRule="auto"/>
        <w:ind w:leftChars="0" w:firstLine="480" w:firstLineChars="200"/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项目团队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依托中尼（重庆—尼泊尔）温室蔬菜合作项目，为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供餐妈妈团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组织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了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  <w:woUserID w:val="1"/>
        </w:rPr>
        <w:t>专项培训。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0"/>
        <w:gridCol w:w="4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3" w:type="dxa"/>
          </w:tcPr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510790" cy="1883410"/>
                  <wp:effectExtent l="0" t="0" r="3810" b="8890"/>
                  <wp:docPr id="6" name="图片 6" descr="Image_20260526140548_597_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age_20260526140548_597_6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188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  <w:t>▲受益学生在排队打饭</w:t>
            </w:r>
          </w:p>
        </w:tc>
        <w:tc>
          <w:tcPr>
            <w:tcW w:w="4593" w:type="dxa"/>
          </w:tcPr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rPr>
                <w:rFonts w:hint="default" w:ascii="Calibri" w:hAnsi="Calibri" w:eastAsia="宋体" w:cs="Times New Roman"/>
                <w:snapToGrid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  <w:woUserID w:val="2"/>
              </w:rPr>
              <w:drawing>
                <wp:inline distT="0" distB="0" distL="114300" distR="114300">
                  <wp:extent cx="2853055" cy="2140585"/>
                  <wp:effectExtent l="0" t="0" r="4445" b="5715"/>
                  <wp:docPr id="1" name="图片 1" descr="Sajina Tamang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Sajina Tamang (2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214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0"/>
              </w:numPr>
              <w:spacing w:before="156" w:beforeLines="50" w:after="156" w:afterLines="50" w:line="240" w:lineRule="auto"/>
              <w:jc w:val="center"/>
              <w:rPr>
                <w:rFonts w:hint="eastAsia" w:ascii="Calibri" w:hAnsi="Calibri" w:eastAsia="宋体" w:cs="Times New Roman"/>
                <w:snapToGrid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2"/>
                <w:highlight w:val="none"/>
                <w:lang w:val="en-US" w:eastAsia="zh-CN" w:bidi="ar-SA"/>
              </w:rPr>
              <w:t>▲供餐妈妈团照料菜园里的蔬菜</w:t>
            </w:r>
          </w:p>
        </w:tc>
      </w:tr>
    </w:tbl>
    <w:p>
      <w:pPr>
        <w:numPr>
          <w:ilvl w:val="0"/>
          <w:numId w:val="0"/>
        </w:numPr>
        <w:spacing w:before="156" w:beforeLines="50" w:after="156" w:afterLines="50" w:line="240" w:lineRule="auto"/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</w:p>
    <w:p>
      <w:pPr>
        <w:numPr>
          <w:ilvl w:val="0"/>
          <w:numId w:val="5"/>
        </w:numPr>
        <w:spacing w:line="240" w:lineRule="auto"/>
        <w:ind w:left="0" w:leftChars="0" w:firstLine="420" w:firstLineChars="0"/>
        <w:rPr>
          <w:rFonts w:hint="eastAsia" w:ascii="微软雅黑" w:hAnsi="微软雅黑" w:eastAsia="微软雅黑" w:cs="宋体"/>
          <w:b/>
          <w:sz w:val="24"/>
        </w:rPr>
      </w:pPr>
      <w:r>
        <w:rPr>
          <w:rFonts w:hint="eastAsia" w:ascii="微软雅黑" w:hAnsi="微软雅黑" w:eastAsia="微软雅黑" w:cs="宋体"/>
          <w:b/>
          <w:sz w:val="24"/>
        </w:rPr>
        <w:t>缅甸</w:t>
      </w:r>
    </w:p>
    <w:p>
      <w:pPr>
        <w:snapToGrid w:val="0"/>
        <w:spacing w:line="360" w:lineRule="auto"/>
        <w:ind w:left="0" w:leftChars="0" w:firstLine="480" w:firstLineChars="200"/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2026年第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二</w:t>
      </w: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季度，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缅甸学校普遍放假，到6月才开学。在休整一个假期后，</w:t>
      </w: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国际微笑儿童供餐项目在缅甸仰光省莱达雅镇区第42号基础教育小学开展1日试学校供餐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，该校568名学生和9名教师都吃上了一日两顿校园餐。</w:t>
      </w:r>
    </w:p>
    <w:p>
      <w:pPr>
        <w:snapToGrid w:val="0"/>
        <w:spacing w:line="360" w:lineRule="auto"/>
        <w:ind w:left="0" w:leftChars="0" w:firstLine="480" w:firstLineChars="200"/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缅甸办公室项目团队组织妈妈团开展新学年营养与卫生知识培训，旨在提升妈妈团成员关于均衡膳食、食品卫生及健康生活方式的认识，为校园供餐质量提供支持和保障。</w:t>
      </w:r>
    </w:p>
    <w:p>
      <w:pPr>
        <w:snapToGrid w:val="0"/>
        <w:spacing w:line="360" w:lineRule="auto"/>
        <w:ind w:left="0" w:leftChars="0" w:firstLine="480" w:firstLineChars="200"/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此外，</w:t>
      </w: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新华社赴学校开展专题采访及拍摄，记录学校供餐情况，并采访了校长、教师、妈妈团成员及受益学生等多方代表，全面展现项目实施成效。</w:t>
      </w:r>
    </w:p>
    <w:tbl>
      <w:tblPr>
        <w:tblStyle w:val="7"/>
        <w:tblW w:w="10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2"/>
        <w:gridCol w:w="4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82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90" w:beforeAutospacing="0" w:after="90" w:afterAutospacing="0"/>
              <w:ind w:left="0" w:right="9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  <w:woUserID w:val="3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strike w:val="0"/>
                <w:dstrike w:val="0"/>
                <w:color w:val="000000"/>
                <w:kern w:val="2"/>
                <w:sz w:val="28"/>
                <w:szCs w:val="28"/>
                <w:u w:val="none"/>
                <w:vertAlign w:val="baseline"/>
                <w:lang w:eastAsia="zh-CN" w:bidi="ar"/>
                <w:woUserID w:val="3"/>
              </w:rPr>
              <w:drawing>
                <wp:inline distT="0" distB="0" distL="114300" distR="114300">
                  <wp:extent cx="2480310" cy="1859915"/>
                  <wp:effectExtent l="0" t="0" r="8890" b="698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310" cy="185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90" w:beforeAutospacing="0" w:after="90" w:afterAutospacing="0"/>
              <w:ind w:left="0" w:right="91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  <w:woUserID w:val="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lang w:val="en-US" w:eastAsia="zh-CN" w:bidi="ar-SA"/>
                <w:woUserID w:val="1"/>
              </w:rPr>
              <w:t>▲供餐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  <w:woUserID w:val="3"/>
              </w:rPr>
              <w:t>妈妈团在工作</w:t>
            </w:r>
          </w:p>
        </w:tc>
        <w:tc>
          <w:tcPr>
            <w:tcW w:w="4998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90" w:beforeAutospacing="0" w:after="90" w:afterAutospacing="0"/>
              <w:ind w:left="0" w:right="9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  <w:woUserID w:val="3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trike w:val="0"/>
                <w:dstrike w:val="0"/>
                <w:color w:val="000000"/>
                <w:kern w:val="2"/>
                <w:sz w:val="24"/>
                <w:szCs w:val="24"/>
                <w:u w:val="none"/>
                <w:lang w:eastAsia="zh-CN" w:bidi="ar"/>
                <w:woUserID w:val="3"/>
              </w:rPr>
              <w:drawing>
                <wp:inline distT="0" distB="0" distL="114300" distR="114300">
                  <wp:extent cx="2546985" cy="1909445"/>
                  <wp:effectExtent l="0" t="0" r="5715" b="8255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985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90" w:beforeAutospacing="0" w:after="90" w:afterAutospacing="0"/>
              <w:ind w:left="0" w:right="91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  <w:woUserID w:val="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lang w:val="en-US" w:eastAsia="zh-CN" w:bidi="ar-SA"/>
                <w:woUserID w:val="1"/>
              </w:rPr>
              <w:t>▲受益学生用餐</w:t>
            </w:r>
          </w:p>
        </w:tc>
      </w:tr>
    </w:tbl>
    <w:p>
      <w:pPr>
        <w:snapToGrid w:val="0"/>
        <w:spacing w:line="360" w:lineRule="auto"/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6" w:leftChars="0"/>
        <w:jc w:val="both"/>
        <w:textAlignment w:val="auto"/>
        <w:rPr>
          <w:rFonts w:hint="eastAsia" w:ascii="微软雅黑" w:hAnsi="微软雅黑" w:eastAsia="微软雅黑" w:cs="宋体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b/>
          <w:kern w:val="2"/>
          <w:sz w:val="24"/>
          <w:szCs w:val="24"/>
          <w:lang w:val="en-US" w:eastAsia="zh-CN" w:bidi="ar-SA"/>
        </w:rPr>
        <w:t>（四）刚果（金）</w:t>
      </w:r>
    </w:p>
    <w:p>
      <w:pPr>
        <w:snapToGrid w:val="0"/>
        <w:spacing w:line="360" w:lineRule="auto"/>
        <w:ind w:left="0" w:leftChars="0" w:firstLine="480" w:firstLineChars="200"/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2026年第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二</w:t>
      </w: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季度，国际微笑儿童供餐项目持续在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刚果（金）卢本巴希市</w:t>
      </w:r>
      <w:r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顺利运行。</w:t>
      </w: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分布在3所学校的1944名学生、34名老师都吃上了一日两顿校园餐，18名供餐妈妈团成员从中获得工作和收入。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  <w:t>本阶段，不断提升学校供餐日常管理机制，进一步完善采购记录、财务披露等流程管理要求，加密线上监测频率。设计了全新的月度收支记录表，要求学校和合作伙伴共同完成。增强项目运行的规范性和可追溯性。</w:t>
      </w:r>
    </w:p>
    <w:tbl>
      <w:tblPr>
        <w:tblStyle w:val="7"/>
        <w:tblW w:w="10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6" w:hRule="atLeast"/>
          <w:jc w:val="center"/>
        </w:trPr>
        <w:tc>
          <w:tcPr>
            <w:tcW w:w="10180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90" w:beforeAutospacing="0" w:after="90" w:afterAutospacing="0"/>
              <w:ind w:left="0" w:right="9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  <w:woUserID w:val="3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eastAsia="zh-CN"/>
                <w:woUserID w:val="2"/>
              </w:rPr>
              <w:drawing>
                <wp:inline distT="0" distB="0" distL="114300" distR="114300">
                  <wp:extent cx="5274310" cy="3955415"/>
                  <wp:effectExtent l="0" t="0" r="8890" b="698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95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90" w:beforeAutospacing="0" w:after="90" w:afterAutospacing="0"/>
              <w:ind w:left="0" w:right="9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  <w:woUserID w:val="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lang w:val="en-US" w:eastAsia="zh-CN" w:bidi="ar-SA"/>
                <w:woUserID w:val="1"/>
              </w:rPr>
              <w:t>▲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受益学生排队打饭</w:t>
            </w:r>
          </w:p>
        </w:tc>
      </w:tr>
    </w:tbl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微软雅黑" w:hAnsi="微软雅黑" w:eastAsia="微软雅黑" w:cs="宋体"/>
          <w:kern w:val="0"/>
          <w:sz w:val="24"/>
          <w:szCs w:val="22"/>
          <w:highlight w:val="none"/>
          <w:lang w:val="en-US" w:eastAsia="zh-CN" w:bidi="ar-SA"/>
        </w:rPr>
      </w:pPr>
    </w:p>
    <w:sectPr>
      <w:type w:val="continuous"/>
      <w:pgSz w:w="11850" w:h="16783"/>
      <w:pgMar w:top="1440" w:right="1440" w:bottom="1440" w:left="1440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aunPenh">
    <w:altName w:val="D050000L"/>
    <w:panose1 w:val="01010101010101010101"/>
    <w:charset w:val="00"/>
    <w:family w:val="auto"/>
    <w:pitch w:val="default"/>
    <w:sig w:usb0="00000000" w:usb1="00000000" w:usb2="00010000" w:usb3="00000000" w:csb0="0000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D050000L">
    <w:panose1 w:val="01010601010101010101"/>
    <w:charset w:val="00"/>
    <w:family w:val="auto"/>
    <w:pitch w:val="default"/>
    <w:sig w:usb0="00000003" w:usb1="0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675590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B790D2"/>
    <w:multiLevelType w:val="singleLevel"/>
    <w:tmpl w:val="FDB790D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48854D1"/>
    <w:multiLevelType w:val="multilevel"/>
    <w:tmpl w:val="148854D1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AB03D8"/>
    <w:multiLevelType w:val="multilevel"/>
    <w:tmpl w:val="20AB03D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4C861E"/>
    <w:multiLevelType w:val="singleLevel"/>
    <w:tmpl w:val="274C86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D757E5B"/>
    <w:multiLevelType w:val="multilevel"/>
    <w:tmpl w:val="6D757E5B"/>
    <w:lvl w:ilvl="0" w:tentative="0">
      <w:start w:val="1"/>
      <w:numFmt w:val="japaneseCounting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988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lZDM5ZWIzODFiOGI4MzNjZjVjNWEyOWNmMDgzOTcifQ=="/>
  </w:docVars>
  <w:rsids>
    <w:rsidRoot w:val="000B4FE8"/>
    <w:rsid w:val="000657F4"/>
    <w:rsid w:val="000843CE"/>
    <w:rsid w:val="00095CF4"/>
    <w:rsid w:val="000B4FE8"/>
    <w:rsid w:val="000C7CAB"/>
    <w:rsid w:val="00160791"/>
    <w:rsid w:val="001A057D"/>
    <w:rsid w:val="001E6BA4"/>
    <w:rsid w:val="001F2819"/>
    <w:rsid w:val="00201068"/>
    <w:rsid w:val="002612D0"/>
    <w:rsid w:val="002E4CE6"/>
    <w:rsid w:val="00457207"/>
    <w:rsid w:val="004D2DC8"/>
    <w:rsid w:val="004E3590"/>
    <w:rsid w:val="00587627"/>
    <w:rsid w:val="005F0015"/>
    <w:rsid w:val="005F7CB7"/>
    <w:rsid w:val="005F7FD4"/>
    <w:rsid w:val="00627CA3"/>
    <w:rsid w:val="00640CBE"/>
    <w:rsid w:val="006F00A2"/>
    <w:rsid w:val="00706EC6"/>
    <w:rsid w:val="00896AC6"/>
    <w:rsid w:val="00946495"/>
    <w:rsid w:val="00993D0E"/>
    <w:rsid w:val="00995364"/>
    <w:rsid w:val="009B7AAB"/>
    <w:rsid w:val="009F5A3E"/>
    <w:rsid w:val="00AC189C"/>
    <w:rsid w:val="00B06623"/>
    <w:rsid w:val="00B21213"/>
    <w:rsid w:val="00B263D0"/>
    <w:rsid w:val="00BC6EFC"/>
    <w:rsid w:val="00C914E6"/>
    <w:rsid w:val="00CB485F"/>
    <w:rsid w:val="00CC1F36"/>
    <w:rsid w:val="00D23A87"/>
    <w:rsid w:val="00DF1FDE"/>
    <w:rsid w:val="00E27BE3"/>
    <w:rsid w:val="00E7003B"/>
    <w:rsid w:val="00E745FF"/>
    <w:rsid w:val="00E9239B"/>
    <w:rsid w:val="00EB5737"/>
    <w:rsid w:val="00EE18B5"/>
    <w:rsid w:val="00F76CF5"/>
    <w:rsid w:val="00FA36FD"/>
    <w:rsid w:val="00FC3B64"/>
    <w:rsid w:val="00FD7F08"/>
    <w:rsid w:val="01AF5289"/>
    <w:rsid w:val="031B439E"/>
    <w:rsid w:val="03826EAF"/>
    <w:rsid w:val="03877FE1"/>
    <w:rsid w:val="03A31381"/>
    <w:rsid w:val="04B24D54"/>
    <w:rsid w:val="05553883"/>
    <w:rsid w:val="07F238C9"/>
    <w:rsid w:val="0B3C0E26"/>
    <w:rsid w:val="0E1F6F93"/>
    <w:rsid w:val="11710E28"/>
    <w:rsid w:val="11AE15A4"/>
    <w:rsid w:val="15222419"/>
    <w:rsid w:val="163D4862"/>
    <w:rsid w:val="18C270D4"/>
    <w:rsid w:val="19E74BB9"/>
    <w:rsid w:val="1ABB3989"/>
    <w:rsid w:val="1B310D08"/>
    <w:rsid w:val="1B49364A"/>
    <w:rsid w:val="1BD950D9"/>
    <w:rsid w:val="1E725158"/>
    <w:rsid w:val="1EF774A8"/>
    <w:rsid w:val="1F7FD842"/>
    <w:rsid w:val="2285698A"/>
    <w:rsid w:val="24960870"/>
    <w:rsid w:val="25345E43"/>
    <w:rsid w:val="260D5FFF"/>
    <w:rsid w:val="287E7EB4"/>
    <w:rsid w:val="29105683"/>
    <w:rsid w:val="298B48AA"/>
    <w:rsid w:val="29BD5D90"/>
    <w:rsid w:val="2C582452"/>
    <w:rsid w:val="2E960B5C"/>
    <w:rsid w:val="319A3BBB"/>
    <w:rsid w:val="334E7736"/>
    <w:rsid w:val="367315ED"/>
    <w:rsid w:val="3A0F1A4D"/>
    <w:rsid w:val="3CFA174C"/>
    <w:rsid w:val="3F9236B4"/>
    <w:rsid w:val="3FA15035"/>
    <w:rsid w:val="49FD3586"/>
    <w:rsid w:val="4A4009D1"/>
    <w:rsid w:val="4B505781"/>
    <w:rsid w:val="4FF502DE"/>
    <w:rsid w:val="52D66763"/>
    <w:rsid w:val="556B5970"/>
    <w:rsid w:val="55F21091"/>
    <w:rsid w:val="58427405"/>
    <w:rsid w:val="5AB375AF"/>
    <w:rsid w:val="5D7461FA"/>
    <w:rsid w:val="5E6E1832"/>
    <w:rsid w:val="62DB196A"/>
    <w:rsid w:val="65AA0E91"/>
    <w:rsid w:val="667462D4"/>
    <w:rsid w:val="69DA118A"/>
    <w:rsid w:val="6AFEF2F9"/>
    <w:rsid w:val="6F014674"/>
    <w:rsid w:val="71615C93"/>
    <w:rsid w:val="76E15EB9"/>
    <w:rsid w:val="79BF37C8"/>
    <w:rsid w:val="7A2C4961"/>
    <w:rsid w:val="7FFDE4A0"/>
    <w:rsid w:val="E77F594B"/>
    <w:rsid w:val="FE79C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rFonts w:eastAsia="楷体"/>
      <w:b/>
      <w:sz w:val="28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widowControl/>
      <w:spacing w:after="160" w:line="259" w:lineRule="auto"/>
      <w:ind w:left="720"/>
      <w:contextualSpacing/>
      <w:jc w:val="left"/>
    </w:pPr>
    <w:rPr>
      <w:kern w:val="0"/>
      <w:sz w:val="22"/>
      <w:szCs w:val="22"/>
      <w:lang w:eastAsia="en-US"/>
    </w:rPr>
  </w:style>
  <w:style w:type="paragraph" w:customStyle="1" w:styleId="14">
    <w:name w:val="WPSOffice手动目录 1"/>
    <w:qFormat/>
    <w:uiPriority w:val="0"/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</w:rPr>
  </w:style>
  <w:style w:type="paragraph" w:customStyle="1" w:styleId="15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1092</Words>
  <Characters>1148</Characters>
  <Lines>9</Lines>
  <Paragraphs>2</Paragraphs>
  <TotalTime>0</TotalTime>
  <ScaleCrop>false</ScaleCrop>
  <LinksUpToDate>false</LinksUpToDate>
  <CharactersWithSpaces>1150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2021-10-22T10:47:00Z</dcterms:created>
  <dc:creator>5001</dc:creator>
  <cp:lastModifiedBy>戴领(2024212230)</cp:lastModifiedBy>
  <dcterms:modified xsi:type="dcterms:W3CDTF">2026-07-24T10:16:43Z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1396EFB662B54769815A2BBFFDC34CCF</vt:lpwstr>
  </property>
  <property fmtid="{D5CDD505-2E9C-101B-9397-08002B2CF9AE}" pid="4" name="KSOTemplateDocerSaveRecord">
    <vt:lpwstr>eyJoZGlkIjoiMWJhMTRhZDUwNzA0NjRlOTJiNWJhN2I4ZjAxYzFmMTgiLCJ1c2VySWQiOiIxNjQyNTUyMDEyIn0=</vt:lpwstr>
  </property>
</Properties>
</file>