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48"/>
          <w:szCs w:val="40"/>
        </w:rPr>
      </w:pPr>
      <w:bookmarkStart w:id="0" w:name="_Hlk535245005"/>
      <w:bookmarkEnd w:id="0"/>
      <w:r>
        <w:rPr>
          <w:rFonts w:hint="eastAsia" w:ascii="方正小标宋简体" w:hAnsi="方正小标宋简体" w:eastAsia="方正小标宋简体" w:cs="方正小标宋简体"/>
          <w:sz w:val="48"/>
          <w:szCs w:val="40"/>
        </w:rP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1412875</wp:posOffset>
            </wp:positionH>
            <wp:positionV relativeFrom="paragraph">
              <wp:posOffset>115570</wp:posOffset>
            </wp:positionV>
            <wp:extent cx="3074035" cy="871220"/>
            <wp:effectExtent l="0" t="0" r="12065" b="5080"/>
            <wp:wrapTight wrapText="bothSides">
              <wp:wrapPolygon>
                <wp:start x="4016" y="0"/>
                <wp:lineTo x="2052" y="2519"/>
                <wp:lineTo x="1339" y="3778"/>
                <wp:lineTo x="1339" y="5038"/>
                <wp:lineTo x="357" y="5038"/>
                <wp:lineTo x="268" y="5983"/>
                <wp:lineTo x="446" y="10076"/>
                <wp:lineTo x="0" y="12910"/>
                <wp:lineTo x="0" y="17318"/>
                <wp:lineTo x="2766" y="20152"/>
                <wp:lineTo x="2766" y="21411"/>
                <wp:lineTo x="3213" y="21411"/>
                <wp:lineTo x="3213" y="20152"/>
                <wp:lineTo x="21506" y="17633"/>
                <wp:lineTo x="21506" y="12280"/>
                <wp:lineTo x="18115" y="11335"/>
                <wp:lineTo x="6425" y="10076"/>
                <wp:lineTo x="21506" y="10076"/>
                <wp:lineTo x="21506" y="6297"/>
                <wp:lineTo x="21060" y="4408"/>
                <wp:lineTo x="18383" y="3464"/>
                <wp:lineTo x="5176" y="0"/>
                <wp:lineTo x="4016" y="0"/>
              </wp:wrapPolygon>
            </wp:wrapTight>
            <wp:docPr id="1" name="图片 1" descr="/tmp/webword_500939763/upload_768161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tmp/webword_500939763/upload_76816123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94412" cy="87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48"/>
          <w:szCs w:val="40"/>
        </w:rPr>
      </w:pPr>
    </w:p>
    <w:p>
      <w:pPr>
        <w:spacing w:line="480" w:lineRule="auto"/>
        <w:jc w:val="center"/>
        <w:rPr>
          <w:rFonts w:ascii="微软雅黑" w:hAnsi="微软雅黑" w:eastAsia="微软雅黑" w:cs="方正小标宋简体"/>
          <w:sz w:val="48"/>
          <w:szCs w:val="40"/>
        </w:rPr>
      </w:pPr>
      <w:r>
        <w:rPr>
          <w:rFonts w:hint="eastAsia" w:ascii="微软雅黑" w:hAnsi="微软雅黑" w:eastAsia="微软雅黑" w:cs="方正小标宋简体"/>
          <w:sz w:val="48"/>
          <w:szCs w:val="40"/>
        </w:rPr>
        <w:t>202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5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年第</w:t>
      </w:r>
      <w:r>
        <w:rPr>
          <w:rFonts w:hint="eastAsia" w:ascii="微软雅黑" w:hAnsi="微软雅黑" w:eastAsia="微软雅黑" w:cs="方正小标宋简体"/>
          <w:sz w:val="48"/>
          <w:szCs w:val="40"/>
          <w:lang w:val="en-US" w:eastAsia="zh-CN"/>
        </w:rPr>
        <w:t>三</w:t>
      </w:r>
      <w:r>
        <w:rPr>
          <w:rFonts w:hint="eastAsia" w:ascii="微软雅黑" w:hAnsi="微软雅黑" w:eastAsia="微软雅黑" w:cs="方正小标宋简体"/>
          <w:sz w:val="48"/>
          <w:szCs w:val="40"/>
        </w:rPr>
        <w:t>季度</w:t>
      </w:r>
    </w:p>
    <w:p>
      <w:pPr>
        <w:spacing w:line="480" w:lineRule="auto"/>
        <w:jc w:val="center"/>
        <w:rPr>
          <w:rFonts w:ascii="微软雅黑" w:hAnsi="微软雅黑" w:eastAsia="微软雅黑" w:cs="方正小标宋简体"/>
          <w:sz w:val="96"/>
          <w:szCs w:val="40"/>
        </w:rPr>
      </w:pPr>
      <w:r>
        <w:rPr>
          <w:rFonts w:hint="eastAsia" w:ascii="微软雅黑" w:hAnsi="微软雅黑" w:eastAsia="微软雅黑" w:cs="方正小标宋简体"/>
          <w:sz w:val="96"/>
          <w:szCs w:val="40"/>
        </w:rPr>
        <w:t>国际综合项目</w:t>
      </w:r>
    </w:p>
    <w:p>
      <w:pPr>
        <w:spacing w:line="480" w:lineRule="auto"/>
        <w:jc w:val="center"/>
        <w:rPr>
          <w:rFonts w:ascii="微软雅黑" w:hAnsi="微软雅黑" w:eastAsia="微软雅黑" w:cs="方正小标宋简体"/>
          <w:sz w:val="72"/>
          <w:szCs w:val="40"/>
        </w:rPr>
      </w:pPr>
      <w:r>
        <w:rPr>
          <w:rFonts w:hint="eastAsia" w:ascii="微软雅黑" w:hAnsi="微软雅黑" w:eastAsia="微软雅黑" w:cs="方正小标宋简体"/>
          <w:sz w:val="72"/>
          <w:szCs w:val="40"/>
        </w:rPr>
        <w:t>总结报告</w:t>
      </w:r>
    </w:p>
    <w:p>
      <w:pPr>
        <w:pStyle w:val="5"/>
        <w:ind w:firstLine="420"/>
        <w:rPr>
          <w:rFonts w:ascii="微软雅黑" w:hAnsi="微软雅黑" w:eastAsia="微软雅黑" w:cs="方正小标宋简体"/>
          <w:sz w:val="72"/>
          <w:szCs w:val="40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1540510</wp:posOffset>
            </wp:positionH>
            <wp:positionV relativeFrom="paragraph">
              <wp:posOffset>109220</wp:posOffset>
            </wp:positionV>
            <wp:extent cx="2627630" cy="3425825"/>
            <wp:effectExtent l="0" t="0" r="1270" b="3175"/>
            <wp:wrapSquare wrapText="bothSides"/>
            <wp:docPr id="87" name="图片 87" descr="爱无疆logo-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87" descr="爱无疆logo-jpg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7630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ind w:firstLine="1440"/>
        <w:rPr>
          <w:rFonts w:ascii="微软雅黑" w:hAnsi="微软雅黑" w:eastAsia="微软雅黑" w:cs="方正小标宋简体"/>
          <w:sz w:val="72"/>
          <w:szCs w:val="40"/>
        </w:rPr>
      </w:pPr>
    </w:p>
    <w:p>
      <w:pPr>
        <w:rPr>
          <w:rFonts w:ascii="微软雅黑" w:hAnsi="微软雅黑" w:eastAsia="微软雅黑" w:cs="方正小标宋简体"/>
          <w:sz w:val="72"/>
          <w:szCs w:val="40"/>
        </w:rPr>
      </w:pPr>
      <w:r>
        <w:rPr>
          <w:rFonts w:hint="eastAsia" w:ascii="微软雅黑" w:hAnsi="微软雅黑" w:eastAsia="微软雅黑" w:cs="方正小标宋简体"/>
          <w:sz w:val="72"/>
          <w:szCs w:val="40"/>
        </w:rPr>
        <w:br w:type="page"/>
      </w:r>
    </w:p>
    <w:p>
      <w:pPr>
        <w:jc w:val="center"/>
        <w:rPr>
          <w:rFonts w:ascii="微软雅黑" w:hAnsi="微软雅黑" w:eastAsia="微软雅黑" w:cs="宋体"/>
          <w:b/>
          <w:bCs/>
          <w:kern w:val="0"/>
          <w:sz w:val="36"/>
          <w:szCs w:val="28"/>
        </w:rPr>
      </w:pPr>
      <w:r>
        <w:rPr>
          <w:rFonts w:hint="eastAsia" w:ascii="微软雅黑" w:hAnsi="微软雅黑" w:eastAsia="微软雅黑" w:cs="宋体"/>
          <w:b/>
          <w:bCs/>
          <w:kern w:val="0"/>
          <w:sz w:val="36"/>
          <w:szCs w:val="28"/>
        </w:rPr>
        <w:t>目录</w:t>
      </w:r>
    </w:p>
    <w:p>
      <w:pPr>
        <w:jc w:val="center"/>
        <w:rPr>
          <w:rFonts w:ascii="微软雅黑" w:hAnsi="微软雅黑" w:eastAsia="微软雅黑" w:cs="宋体"/>
          <w:b/>
          <w:bCs/>
          <w:kern w:val="0"/>
          <w:sz w:val="24"/>
          <w:szCs w:val="28"/>
        </w:rPr>
      </w:pPr>
    </w:p>
    <w:p>
      <w:pPr>
        <w:pStyle w:val="18"/>
        <w:numPr>
          <w:ilvl w:val="0"/>
          <w:numId w:val="1"/>
        </w:numPr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国际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综合</w:t>
      </w:r>
      <w:r>
        <w:rPr>
          <w:rFonts w:hint="eastAsia"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项目介绍</w:t>
      </w:r>
    </w:p>
    <w:p>
      <w:pPr>
        <w:pStyle w:val="18"/>
        <w:numPr>
          <w:ilvl w:val="0"/>
          <w:numId w:val="1"/>
        </w:numPr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"_Toc7657_WPSOffice_Level2" </w:instrText>
      </w:r>
      <w:r>
        <w:fldChar w:fldCharType="separate"/>
      </w:r>
      <w:r>
        <w:rPr>
          <w:rStyle w:val="16"/>
          <w:rFonts w:hint="eastAsia" w:ascii="微软雅黑" w:hAnsi="微软雅黑" w:eastAsia="微软雅黑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财务情况</w:t>
      </w:r>
      <w:r>
        <w:rPr>
          <w:rStyle w:val="17"/>
          <w:rFonts w:hint="eastAsia" w:ascii="微软雅黑" w:hAnsi="微软雅黑" w:eastAsia="微软雅黑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18"/>
        <w:numPr>
          <w:ilvl w:val="0"/>
          <w:numId w:val="1"/>
        </w:numPr>
        <w:rPr>
          <w:rFonts w:ascii="微软雅黑" w:hAnsi="微软雅黑" w:eastAsia="微软雅黑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fldChar w:fldCharType="begin"/>
      </w:r>
      <w:r>
        <w:instrText xml:space="preserve"> HYPERLINK \l "_Toc7657_WPSOffice_Level2" </w:instrText>
      </w:r>
      <w:r>
        <w:fldChar w:fldCharType="separate"/>
      </w:r>
      <w:r>
        <w:rPr>
          <w:rStyle w:val="17"/>
          <w:rFonts w:hint="eastAsia" w:ascii="微软雅黑" w:hAnsi="微软雅黑" w:eastAsia="微软雅黑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项目简要进展</w:t>
      </w:r>
      <w:r>
        <w:rPr>
          <w:rStyle w:val="17"/>
          <w:rFonts w:hint="eastAsia" w:ascii="微软雅黑" w:hAnsi="微软雅黑" w:eastAsia="微软雅黑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18"/>
        <w:numPr>
          <w:ilvl w:val="0"/>
          <w:numId w:val="2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埃塞俄比亚</w:t>
      </w:r>
    </w:p>
    <w:p>
      <w:pPr>
        <w:pStyle w:val="18"/>
        <w:numPr>
          <w:ilvl w:val="0"/>
          <w:numId w:val="2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eastAsia="zh-CN"/>
        </w:rPr>
        <w:t>尼泊尔</w:t>
      </w:r>
    </w:p>
    <w:p>
      <w:pPr>
        <w:pStyle w:val="18"/>
        <w:numPr>
          <w:ilvl w:val="0"/>
          <w:numId w:val="2"/>
        </w:numPr>
        <w:rPr>
          <w:rFonts w:hint="eastAsia" w:ascii="微软雅黑" w:hAnsi="微软雅黑" w:eastAsia="微软雅黑"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缅甸</w:t>
      </w:r>
    </w:p>
    <w:p>
      <w:pPr>
        <w:pStyle w:val="18"/>
        <w:numPr>
          <w:ilvl w:val="0"/>
          <w:numId w:val="2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刚果（金）</w:t>
      </w:r>
    </w:p>
    <w:p>
      <w:pPr>
        <w:pStyle w:val="18"/>
        <w:numPr>
          <w:ilvl w:val="0"/>
          <w:numId w:val="2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  <w:lang w:val="en-US" w:eastAsia="zh-CN"/>
        </w:rPr>
        <w:t>老挝</w:t>
      </w:r>
    </w:p>
    <w:p>
      <w:pPr>
        <w:spacing w:line="480" w:lineRule="auto"/>
        <w:rPr>
          <w:rFonts w:ascii="方正小标宋简体" w:hAnsi="方正小标宋简体" w:eastAsia="方正小标宋简体" w:cs="方正小标宋简体"/>
          <w:sz w:val="40"/>
          <w:szCs w:val="36"/>
        </w:rPr>
      </w:pP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480" w:lineRule="auto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276" w:lineRule="auto"/>
        <w:ind w:left="424" w:leftChars="202" w:firstLine="994" w:firstLineChars="355"/>
        <w:rPr>
          <w:rStyle w:val="17"/>
          <w:rFonts w:ascii="微软雅黑" w:hAnsi="微软雅黑" w:eastAsia="微软雅黑"/>
          <w:color w:val="auto"/>
          <w:sz w:val="28"/>
          <w:u w:val="none"/>
        </w:rPr>
      </w:pPr>
    </w:p>
    <w:p>
      <w:pPr>
        <w:pStyle w:val="20"/>
        <w:tabs>
          <w:tab w:val="right" w:leader="dot" w:pos="8970"/>
        </w:tabs>
        <w:rPr>
          <w:rFonts w:ascii="微软雅黑" w:hAnsi="微软雅黑" w:eastAsia="微软雅黑"/>
          <w:b/>
          <w:bCs/>
        </w:rPr>
      </w:pPr>
    </w:p>
    <w:p>
      <w:pPr>
        <w:pStyle w:val="20"/>
        <w:tabs>
          <w:tab w:val="right" w:leader="dot" w:pos="8970"/>
        </w:tabs>
        <w:rPr>
          <w:rFonts w:ascii="微软雅黑" w:hAnsi="微软雅黑" w:eastAsia="微软雅黑"/>
          <w:b/>
          <w:bCs/>
        </w:rPr>
      </w:pPr>
    </w:p>
    <w:p>
      <w:pPr>
        <w:rPr>
          <w:rFonts w:ascii="微软雅黑" w:hAnsi="微软雅黑" w:eastAsia="微软雅黑" w:cs="宋体"/>
          <w:b/>
          <w:bCs/>
          <w:kern w:val="0"/>
          <w:sz w:val="24"/>
        </w:rPr>
      </w:pPr>
      <w:r>
        <w:rPr>
          <w:rFonts w:hint="eastAsia" w:ascii="微软雅黑" w:hAnsi="微软雅黑" w:eastAsia="微软雅黑" w:cs="宋体"/>
          <w:b/>
          <w:bCs/>
          <w:kern w:val="0"/>
          <w:sz w:val="24"/>
        </w:rPr>
        <w:br w:type="page"/>
      </w:r>
    </w:p>
    <w:p>
      <w:pPr>
        <w:numPr>
          <w:ilvl w:val="0"/>
          <w:numId w:val="3"/>
        </w:numPr>
        <w:spacing w:line="360" w:lineRule="auto"/>
        <w:jc w:val="left"/>
        <w:outlineLvl w:val="0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国际综合项目介绍</w:t>
      </w:r>
    </w:p>
    <w:p>
      <w:pPr>
        <w:keepNext w:val="0"/>
        <w:keepLines w:val="0"/>
        <w:widowControl/>
        <w:suppressLineNumbers w:val="0"/>
        <w:spacing w:before="0" w:beforeAutospacing="0" w:after="160" w:afterAutospacing="0" w:line="360" w:lineRule="auto"/>
        <w:ind w:left="0" w:right="0" w:firstLine="480" w:firstLineChars="200"/>
        <w:jc w:val="both"/>
        <w:rPr>
          <w:rFonts w:hint="eastAsia" w:ascii="宋体" w:hAnsi="宋体" w:eastAsia="宋体" w:cs="Times New Roman"/>
          <w:b w:val="0"/>
          <w:bCs w:val="0"/>
          <w:kern w:val="0"/>
          <w:sz w:val="24"/>
          <w:szCs w:val="24"/>
          <w:lang w:val="en-US" w:eastAsia="zh-CN" w:bidi="ar"/>
          <w:woUserID w:val="1"/>
        </w:rPr>
      </w:pP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针对发展中国家百姓因基础薄弱、资源匮乏、灾害侵袭、经济发展不均衡等原因造成极端贫困的问题，中国乡村发展基金会围绕联合国可持续发展目标第一、二、三、四、六、八项，为包括妇女和儿童在内的受益人群提供包括减贫、消除饥饿、清洁饮水、经济赋能等发展和援助项目，保障其生存权及发展权，传递中国人民的爱心，促进中外民心相通，助力构建人类命运共同体</w:t>
      </w:r>
      <w:r>
        <w:rPr>
          <w:rFonts w:hint="eastAsia" w:ascii="宋体" w:hAnsi="宋体" w:eastAsia="宋体" w:cs="Times New Roman"/>
          <w:b w:val="0"/>
          <w:bCs w:val="0"/>
          <w:kern w:val="0"/>
          <w:sz w:val="24"/>
          <w:szCs w:val="24"/>
          <w:lang w:val="en-US" w:eastAsia="zh-CN" w:bidi="ar"/>
          <w:woUserID w:val="1"/>
        </w:rPr>
        <w:t>。</w:t>
      </w:r>
    </w:p>
    <w:p>
      <w:pPr>
        <w:widowControl/>
        <w:rPr>
          <w:rFonts w:hint="eastAsia" w:ascii="黑体" w:hAnsi="黑体" w:eastAsia="黑体" w:cs="黑体"/>
          <w:sz w:val="18"/>
          <w:szCs w:val="18"/>
        </w:rPr>
      </w:pPr>
    </w:p>
    <w:p>
      <w:pPr>
        <w:widowControl/>
        <w:rPr>
          <w:rFonts w:hint="eastAsia" w:ascii="黑体" w:hAnsi="黑体" w:eastAsia="黑体" w:cs="黑体"/>
          <w:sz w:val="18"/>
          <w:szCs w:val="18"/>
        </w:rPr>
      </w:pPr>
    </w:p>
    <w:p>
      <w:pPr>
        <w:pStyle w:val="18"/>
        <w:numPr>
          <w:ilvl w:val="0"/>
          <w:numId w:val="4"/>
        </w:numPr>
        <w:spacing w:line="360" w:lineRule="auto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</w:rPr>
        <w:t>财务情况</w:t>
      </w:r>
    </w:p>
    <w:p>
      <w:pPr>
        <w:keepNext w:val="0"/>
        <w:keepLines w:val="0"/>
        <w:widowControl/>
        <w:suppressLineNumbers w:val="0"/>
        <w:spacing w:before="0" w:beforeAutospacing="0" w:after="160" w:afterAutospacing="0" w:line="360" w:lineRule="auto"/>
        <w:ind w:left="0" w:right="0" w:firstLine="480" w:firstLineChars="200"/>
        <w:jc w:val="both"/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2025年第三季度国际综合项目收入</w:t>
      </w:r>
      <w:r>
        <w:rPr>
          <w:rFonts w:hint="default" w:ascii="微软雅黑" w:hAnsi="微软雅黑" w:eastAsia="微软雅黑" w:cs="宋体"/>
          <w:b w:val="0"/>
          <w:bCs w:val="0"/>
          <w:kern w:val="0"/>
          <w:sz w:val="24"/>
          <w:szCs w:val="22"/>
          <w:lang w:eastAsia="zh-CN" w:bidi="ar-SA"/>
          <w:woUserID w:val="1"/>
        </w:rPr>
        <w:t>11801325.33</w:t>
      </w: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元，支出</w:t>
      </w:r>
      <w:r>
        <w:rPr>
          <w:rFonts w:hint="default" w:ascii="微软雅黑" w:hAnsi="微软雅黑" w:eastAsia="微软雅黑" w:cs="宋体"/>
          <w:b w:val="0"/>
          <w:bCs w:val="0"/>
          <w:kern w:val="0"/>
          <w:sz w:val="24"/>
          <w:szCs w:val="22"/>
          <w:lang w:eastAsia="zh-CN" w:bidi="ar-SA"/>
          <w:woUserID w:val="1"/>
        </w:rPr>
        <w:t>2643664.13</w:t>
      </w:r>
      <w:bookmarkStart w:id="1" w:name="_GoBack"/>
      <w:bookmarkEnd w:id="1"/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元。</w:t>
      </w:r>
    </w:p>
    <w:p>
      <w:pPr>
        <w:pStyle w:val="18"/>
        <w:spacing w:line="360" w:lineRule="auto"/>
        <w:ind w:left="0"/>
        <w:jc w:val="both"/>
        <w:rPr>
          <w:rFonts w:ascii="微软雅黑" w:hAnsi="微软雅黑" w:eastAsia="微软雅黑" w:cs="宋体"/>
          <w:sz w:val="24"/>
          <w:lang w:eastAsia="zh-CN"/>
        </w:rPr>
      </w:pPr>
    </w:p>
    <w:p>
      <w:pPr>
        <w:pStyle w:val="18"/>
        <w:numPr>
          <w:ilvl w:val="0"/>
          <w:numId w:val="4"/>
        </w:numPr>
        <w:spacing w:line="360" w:lineRule="auto"/>
        <w:rPr>
          <w:rFonts w:ascii="微软雅黑" w:hAnsi="微软雅黑" w:eastAsia="微软雅黑" w:cs="宋体"/>
          <w:b/>
          <w:bCs/>
          <w:sz w:val="24"/>
        </w:rPr>
      </w:pPr>
      <w:r>
        <w:rPr>
          <w:rFonts w:hint="eastAsia" w:ascii="微软雅黑" w:hAnsi="微软雅黑" w:eastAsia="微软雅黑" w:cs="宋体"/>
          <w:b/>
          <w:bCs/>
          <w:sz w:val="24"/>
          <w:lang w:eastAsia="zh-CN"/>
        </w:rPr>
        <w:t>项目简要进展</w:t>
      </w:r>
    </w:p>
    <w:p>
      <w:pPr>
        <w:pStyle w:val="18"/>
        <w:numPr>
          <w:ilvl w:val="0"/>
          <w:numId w:val="5"/>
        </w:numPr>
        <w:spacing w:line="360" w:lineRule="auto"/>
        <w:ind w:left="0"/>
        <w:jc w:val="both"/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埃塞俄比亚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1、埃塞俄比亚妇女经济赋能项目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本季度，埃塞俄比亚妇女经济赋能项目成效显著，在提升当地妇女金融包容性、强化能力建设与增强韧性方面进展突出。由妇女主导的储蓄和信贷合作社（SACCO）持续发挥了重要的作用，高效调动资源、拓宽信贷渠道，并搭建集体决策平台。期间，41名妇女获总计12.37 万埃塞俄比亚比尔贷款，累计储蓄增长32%。此外，通过召开大会、开展审计前审查及联动利益攸关方，项目体制结构进一步夯实。</w:t>
      </w:r>
    </w:p>
    <w:p>
      <w:pPr>
        <w:keepNext w:val="0"/>
        <w:keepLines w:val="0"/>
        <w:widowControl/>
        <w:suppressLineNumbers w:val="0"/>
        <w:spacing w:before="0" w:beforeAutospacing="0" w:after="160" w:afterAutospacing="0" w:line="360" w:lineRule="auto"/>
        <w:ind w:left="0" w:right="0"/>
        <w:jc w:val="center"/>
        <w:rPr>
          <w:rFonts w:hint="default" w:ascii="宋体" w:hAnsi="宋体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</w:p>
    <w:p>
      <w:pPr>
        <w:pStyle w:val="18"/>
        <w:numPr>
          <w:ilvl w:val="0"/>
          <w:numId w:val="0"/>
        </w:numPr>
        <w:spacing w:line="360" w:lineRule="auto"/>
        <w:jc w:val="both"/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  <w:r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eastAsia="zh-CN" w:bidi="ar"/>
          <w:woUserID w:val="1"/>
        </w:rPr>
        <w:t xml:space="preserve">                     </w:t>
      </w:r>
      <w:r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  <w:t xml:space="preserve">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802640</wp:posOffset>
            </wp:positionH>
            <wp:positionV relativeFrom="paragraph">
              <wp:posOffset>-443230</wp:posOffset>
            </wp:positionV>
            <wp:extent cx="3946525" cy="2631440"/>
            <wp:effectExtent l="0" t="0" r="0" b="0"/>
            <wp:wrapTight wrapText="bothSides">
              <wp:wrapPolygon>
                <wp:start x="0" y="0"/>
                <wp:lineTo x="0" y="21475"/>
                <wp:lineTo x="21548" y="21475"/>
                <wp:lineTo x="21548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263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right="0"/>
        <w:jc w:val="both"/>
        <w:rPr>
          <w:rFonts w:hint="default" w:ascii="Times New Roman" w:hAnsi="Times New Roman" w:eastAsia="宋体" w:cs="Times New Roman"/>
          <w:b/>
          <w:bCs/>
          <w:kern w:val="0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right="0" w:firstLine="240" w:firstLineChars="100"/>
        <w:jc w:val="both"/>
        <w:rPr>
          <w:rFonts w:hint="default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2、</w:t>
      </w:r>
      <w:r>
        <w:rPr>
          <w:rFonts w:hint="default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 xml:space="preserve">徐工水窖六期项目进展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 w:firstLine="480" w:firstLineChars="20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eastAsia="zh-CN" w:bidi="ar"/>
          <w:woUserID w:val="1"/>
        </w:rPr>
      </w:pPr>
      <w:r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eastAsia="zh-CN" w:bidi="ar"/>
          <w:woUserID w:val="1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958215</wp:posOffset>
            </wp:positionH>
            <wp:positionV relativeFrom="paragraph">
              <wp:posOffset>2153920</wp:posOffset>
            </wp:positionV>
            <wp:extent cx="3858895" cy="2893060"/>
            <wp:effectExtent l="0" t="0" r="1905" b="2540"/>
            <wp:wrapTight wrapText="bothSides">
              <wp:wrapPolygon>
                <wp:start x="0" y="0"/>
                <wp:lineTo x="0" y="21524"/>
                <wp:lineTo x="21540" y="21524"/>
                <wp:lineTo x="21540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58895" cy="2893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2025 年第三季度，水窖六期项目成效显著，有力提升明贾尔 - 申科拉县农村水安全水平与生计恢复能力。项目顺利从中期建设阶段过渡至基本完工，截至 9 月底，总体实施率达 95%。关键里程碑包括：完成内外部抹灰、安装输水系统、开展涂漆与标识优化，且 36 座水窖结构中已有 35 座完成雨水收集测试。同期，通过密集的社区培训与参与活动，受益者在雨水管理及小规模灌溉技术方面的能力得到有效强化。</w:t>
      </w:r>
    </w:p>
    <w:p>
      <w:pPr>
        <w:pStyle w:val="18"/>
        <w:numPr>
          <w:ilvl w:val="0"/>
          <w:numId w:val="0"/>
        </w:numPr>
        <w:spacing w:line="360" w:lineRule="auto"/>
        <w:jc w:val="both"/>
        <w:rPr>
          <w:rFonts w:hint="default" w:ascii="微软雅黑" w:hAnsi="微软雅黑" w:eastAsia="微软雅黑" w:cs="宋体"/>
          <w:b/>
          <w:bCs/>
          <w:sz w:val="24"/>
          <w:lang w:eastAsia="zh-CN"/>
        </w:rPr>
      </w:pPr>
    </w:p>
    <w:p>
      <w:pPr>
        <w:pStyle w:val="18"/>
        <w:numPr>
          <w:ilvl w:val="0"/>
          <w:numId w:val="0"/>
        </w:numPr>
        <w:spacing w:line="360" w:lineRule="auto"/>
        <w:jc w:val="both"/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val="en-US" w:eastAsia="zh-CN" w:bidi="ar"/>
          <w:woUserID w:val="1"/>
        </w:rPr>
      </w:pPr>
    </w:p>
    <w:p>
      <w:pPr>
        <w:pStyle w:val="18"/>
        <w:numPr>
          <w:ilvl w:val="0"/>
          <w:numId w:val="5"/>
        </w:numPr>
        <w:spacing w:line="360" w:lineRule="auto"/>
        <w:ind w:left="0"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尼泊尔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1、中国（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重庆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）援尼泊尔减贫与发展项目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本季度，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该项目在杂交水稻技术培训、秧苗移植等多方面推进，7月开展杂交水稻技术理论培训，8 月完成首次水稻秧苗移植，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在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重庆市农业科学院专家提供技术支持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及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奇旺农林大学等多方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的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参与，水稻秧苗自 8 月 11 日移植后生长良好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；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-221615</wp:posOffset>
            </wp:positionH>
            <wp:positionV relativeFrom="paragraph">
              <wp:posOffset>279400</wp:posOffset>
            </wp:positionV>
            <wp:extent cx="2967355" cy="2226945"/>
            <wp:effectExtent l="0" t="0" r="4445" b="8255"/>
            <wp:wrapTight wrapText="bothSides">
              <wp:wrapPolygon>
                <wp:start x="0" y="0"/>
                <wp:lineTo x="0" y="21434"/>
                <wp:lineTo x="21540" y="21434"/>
                <wp:lineTo x="21540" y="0"/>
                <wp:lineTo x="0" y="0"/>
              </wp:wrapPolygon>
            </wp:wrapTight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67355" cy="222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2901950</wp:posOffset>
            </wp:positionH>
            <wp:positionV relativeFrom="paragraph">
              <wp:posOffset>301625</wp:posOffset>
            </wp:positionV>
            <wp:extent cx="3009265" cy="2162810"/>
            <wp:effectExtent l="0" t="0" r="0" b="0"/>
            <wp:wrapTight wrapText="bothSides">
              <wp:wrapPolygon>
                <wp:start x="0" y="0"/>
                <wp:lineTo x="0" y="21435"/>
                <wp:lineTo x="21513" y="21435"/>
                <wp:lineTo x="21513" y="0"/>
                <wp:lineTo x="0" y="0"/>
              </wp:wrapPolygon>
            </wp:wrapTight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16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2、青年职业培训项目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4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1121410</wp:posOffset>
            </wp:positionH>
            <wp:positionV relativeFrom="paragraph">
              <wp:posOffset>1500505</wp:posOffset>
            </wp:positionV>
            <wp:extent cx="3662680" cy="2524760"/>
            <wp:effectExtent l="0" t="0" r="7620" b="2540"/>
            <wp:wrapTight wrapText="bothSides">
              <wp:wrapPolygon>
                <wp:start x="0" y="0"/>
                <wp:lineTo x="0" y="21513"/>
                <wp:lineTo x="21495" y="21513"/>
                <wp:lineTo x="21495" y="0"/>
                <wp:lineTo x="0" y="0"/>
              </wp:wrapPolygon>
            </wp:wrapTight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62680" cy="2524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本季度，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项目团队多次走访科卡纳第 21 区，与当地人员讨论农业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类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 xml:space="preserve">青年职业培训实施细节，明确项目范围与参与者职责。培训将由 CTEVT 认证培训师授课，且当地指定专人负责发布报名通知。培训计划 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在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2025 年 11 月开展，助力青年掌握农业</w:t>
      </w: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种植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技能。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</w:p>
    <w:p>
      <w:pPr>
        <w:pStyle w:val="18"/>
        <w:numPr>
          <w:ilvl w:val="0"/>
          <w:numId w:val="5"/>
        </w:numPr>
        <w:spacing w:line="360" w:lineRule="auto"/>
        <w:ind w:left="0"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缅甸</w:t>
      </w: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default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</w:pPr>
      <w:r>
        <w:rPr>
          <w:rFonts w:hint="eastAsia" w:ascii="微软雅黑" w:hAnsi="微软雅黑" w:eastAsia="微软雅黑" w:cs="宋体"/>
          <w:b w:val="0"/>
          <w:bCs w:val="0"/>
          <w:kern w:val="0"/>
          <w:sz w:val="24"/>
          <w:szCs w:val="22"/>
          <w:lang w:val="en-US" w:eastAsia="zh-CN" w:bidi="ar-SA"/>
        </w:rPr>
        <w:t>1、缅甸胞波奖助学金项目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三季度，我会联合中国银行（香港）在缅甸仰光大学开展24-25学年第二学期助学金发放。</w:t>
      </w: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  <w:r>
        <w:rPr>
          <w:rFonts w:hint="default" w:ascii="微软雅黑" w:hAnsi="微软雅黑" w:eastAsia="微软雅黑" w:cs="宋体"/>
          <w:b w:val="0"/>
          <w:bCs w:val="0"/>
          <w:sz w:val="24"/>
          <w:vertAlign w:val="baseline"/>
          <w:lang w:val="en-US" w:eastAsia="zh-CN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1058545</wp:posOffset>
            </wp:positionH>
            <wp:positionV relativeFrom="paragraph">
              <wp:posOffset>22860</wp:posOffset>
            </wp:positionV>
            <wp:extent cx="3965575" cy="2973070"/>
            <wp:effectExtent l="0" t="0" r="22225" b="36830"/>
            <wp:wrapTight wrapText="bothSides">
              <wp:wrapPolygon>
                <wp:start x="0" y="0"/>
                <wp:lineTo x="0" y="21499"/>
                <wp:lineTo x="21514" y="21499"/>
                <wp:lineTo x="21514" y="0"/>
                <wp:lineTo x="0" y="0"/>
              </wp:wrapPolygon>
            </wp:wrapTight>
            <wp:docPr id="15" name="图片 15" descr="助学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助学金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65575" cy="2973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keepNext w:val="0"/>
        <w:keepLines w:val="0"/>
        <w:widowControl w:val="0"/>
        <w:suppressLineNumbers w:val="0"/>
        <w:spacing w:before="0" w:beforeAutospacing="0" w:afterAutospacing="0" w:line="360" w:lineRule="auto"/>
        <w:ind w:left="0" w:right="0"/>
        <w:jc w:val="both"/>
        <w:rPr>
          <w:rFonts w:hint="eastAsia" w:ascii="宋体" w:hAnsi="宋体" w:eastAsia="宋体" w:cs="宋体"/>
          <w:b w:val="0"/>
          <w:bCs w:val="0"/>
          <w:kern w:val="2"/>
          <w:sz w:val="24"/>
          <w:szCs w:val="24"/>
          <w:lang w:val="en-US" w:eastAsia="zh-CN" w:bidi="ar"/>
          <w:woUserID w:val="3"/>
        </w:rPr>
      </w:pPr>
    </w:p>
    <w:p>
      <w:pPr>
        <w:pStyle w:val="18"/>
        <w:numPr>
          <w:ilvl w:val="0"/>
          <w:numId w:val="5"/>
        </w:numPr>
        <w:spacing w:line="360" w:lineRule="auto"/>
        <w:ind w:left="0"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刚果（金）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1、刚果（金）发展援助项目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 w:val="0"/>
          <w:bCs w:val="0"/>
          <w:sz w:val="24"/>
          <w:lang w:val="en-US" w:eastAsia="zh-CN"/>
        </w:rPr>
        <w:t>7月11日，刚果（金）发展援助项目第一期（华友钴业CDM刚果（金）社责书项目）竣工交付仪式在卢本巴希市Kawama村顺利举行。华友钴业CDM公司企业社会责任有关负责人、属地领导、村民代表等80余人参加了仪式。刚果（金）发展援助项目第一期（华友钴业CDM刚果（金）社责书项目）</w:t>
      </w: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涵盖了在当地建设多功能厅、职业培训中心和三间教室三个基建项目，于2024年10月正式开工，项目共覆盖受益村民45,000人。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20" w:firstLineChars="0"/>
        <w:contextualSpacing/>
        <w:jc w:val="both"/>
        <w:rPr>
          <w:rFonts w:hint="default" w:ascii="宋体" w:hAnsi="宋体" w:eastAsia="宋体" w:cs="宋体"/>
          <w:b w:val="0"/>
          <w:bCs w:val="0"/>
          <w:kern w:val="2"/>
          <w:sz w:val="24"/>
          <w:szCs w:val="24"/>
          <w:lang w:eastAsia="zh-CN" w:bidi="ar"/>
          <w:woUserID w:val="4"/>
        </w:rPr>
      </w:pPr>
      <w:r>
        <w:rPr>
          <w:rFonts w:hint="default" w:ascii="微软雅黑" w:hAnsi="微软雅黑" w:eastAsia="微软雅黑" w:cs="宋体"/>
          <w:b/>
          <w:bCs/>
          <w:sz w:val="24"/>
          <w:lang w:eastAsia="zh-CN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1257935</wp:posOffset>
            </wp:positionH>
            <wp:positionV relativeFrom="paragraph">
              <wp:posOffset>198120</wp:posOffset>
            </wp:positionV>
            <wp:extent cx="2981960" cy="2237740"/>
            <wp:effectExtent l="0" t="0" r="2540" b="10160"/>
            <wp:wrapTight wrapText="bothSides">
              <wp:wrapPolygon>
                <wp:start x="0" y="0"/>
                <wp:lineTo x="0" y="21453"/>
                <wp:lineTo x="21526" y="21453"/>
                <wp:lineTo x="21526" y="0"/>
                <wp:lineTo x="0" y="0"/>
              </wp:wrapPolygon>
            </wp:wrapTight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981960" cy="2237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default" w:ascii="微软雅黑" w:hAnsi="微软雅黑" w:eastAsia="微软雅黑" w:cs="宋体"/>
          <w:b/>
          <w:bCs/>
          <w:sz w:val="24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2879725</wp:posOffset>
            </wp:positionH>
            <wp:positionV relativeFrom="paragraph">
              <wp:posOffset>178435</wp:posOffset>
            </wp:positionV>
            <wp:extent cx="2302510" cy="1666875"/>
            <wp:effectExtent l="0" t="0" r="8890" b="0"/>
            <wp:wrapTight wrapText="bothSides">
              <wp:wrapPolygon>
                <wp:start x="0" y="0"/>
                <wp:lineTo x="0" y="21394"/>
                <wp:lineTo x="21445" y="21394"/>
                <wp:lineTo x="21445" y="0"/>
                <wp:lineTo x="0" y="0"/>
              </wp:wrapPolygon>
            </wp:wrapTight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0251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微软雅黑" w:hAnsi="微软雅黑" w:eastAsia="微软雅黑" w:cs="宋体"/>
          <w:b/>
          <w:bCs/>
          <w:sz w:val="24"/>
          <w:lang w:eastAsia="zh-C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122555</wp:posOffset>
            </wp:positionH>
            <wp:positionV relativeFrom="paragraph">
              <wp:posOffset>159385</wp:posOffset>
            </wp:positionV>
            <wp:extent cx="2760345" cy="1744980"/>
            <wp:effectExtent l="0" t="0" r="8255" b="0"/>
            <wp:wrapTight wrapText="bothSides">
              <wp:wrapPolygon>
                <wp:start x="0" y="0"/>
                <wp:lineTo x="0" y="21380"/>
                <wp:lineTo x="21466" y="21380"/>
                <wp:lineTo x="21466" y="0"/>
                <wp:lineTo x="0" y="0"/>
              </wp:wrapPolygon>
            </wp:wrapTight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760345" cy="17449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</w:p>
    <w:p>
      <w:pPr>
        <w:pStyle w:val="18"/>
        <w:numPr>
          <w:ilvl w:val="0"/>
          <w:numId w:val="5"/>
        </w:numPr>
        <w:spacing w:line="360" w:lineRule="auto"/>
        <w:ind w:left="0"/>
        <w:jc w:val="both"/>
        <w:rPr>
          <w:rFonts w:hint="default" w:ascii="微软雅黑" w:hAnsi="微软雅黑" w:eastAsia="微软雅黑" w:cs="宋体"/>
          <w:b/>
          <w:bCs/>
          <w:sz w:val="24"/>
          <w:lang w:val="en-US" w:eastAsia="zh-CN"/>
        </w:rPr>
      </w:pPr>
      <w:r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  <w:t>老挝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1.国际南网知行书屋项目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ind w:firstLine="480" w:firstLineChars="200"/>
        <w:contextualSpacing/>
        <w:jc w:val="both"/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</w:pPr>
      <w:r>
        <w:rPr>
          <w:rFonts w:hint="default" w:ascii="微软雅黑" w:hAnsi="微软雅黑" w:eastAsia="微软雅黑" w:cs="宋体"/>
          <w:b w:val="0"/>
          <w:bCs w:val="0"/>
          <w:sz w:val="24"/>
          <w:lang w:val="en-US" w:eastAsia="zh-CN"/>
        </w:rPr>
        <w:t>三季度，我会联合南方电网在老挝万象省2所学校、琅南塔省1所学校、乌多姆赛省2所学校开展国际南网知行书屋项目。</w:t>
      </w:r>
    </w:p>
    <w:p>
      <w:pPr>
        <w:pStyle w:val="18"/>
        <w:widowControl/>
        <w:numPr>
          <w:ilvl w:val="0"/>
          <w:numId w:val="0"/>
        </w:numPr>
        <w:spacing w:after="160" w:line="360" w:lineRule="auto"/>
        <w:contextualSpacing/>
        <w:jc w:val="both"/>
        <w:rPr>
          <w:rFonts w:hint="eastAsia" w:ascii="微软雅黑" w:hAnsi="微软雅黑" w:eastAsia="微软雅黑" w:cs="宋体"/>
          <w:b/>
          <w:bCs/>
          <w:sz w:val="24"/>
          <w:lang w:val="en-US" w:eastAsia="zh-CN"/>
        </w:rPr>
      </w:pPr>
      <w: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2760345</wp:posOffset>
            </wp:positionH>
            <wp:positionV relativeFrom="paragraph">
              <wp:posOffset>231140</wp:posOffset>
            </wp:positionV>
            <wp:extent cx="2665730" cy="2007235"/>
            <wp:effectExtent l="0" t="0" r="1270" b="12065"/>
            <wp:wrapTight wrapText="bothSides">
              <wp:wrapPolygon>
                <wp:start x="0" y="0"/>
                <wp:lineTo x="0" y="21457"/>
                <wp:lineTo x="21507" y="21457"/>
                <wp:lineTo x="21507" y="0"/>
                <wp:lineTo x="0" y="0"/>
              </wp:wrapPolygon>
            </wp:wrapTight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65730" cy="2007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-167640</wp:posOffset>
            </wp:positionH>
            <wp:positionV relativeFrom="paragraph">
              <wp:posOffset>191770</wp:posOffset>
            </wp:positionV>
            <wp:extent cx="2773680" cy="2053590"/>
            <wp:effectExtent l="0" t="0" r="7620" b="3810"/>
            <wp:wrapTight wrapText="bothSides">
              <wp:wrapPolygon>
                <wp:start x="0" y="0"/>
                <wp:lineTo x="0" y="21506"/>
                <wp:lineTo x="21462" y="21506"/>
                <wp:lineTo x="21462" y="0"/>
                <wp:lineTo x="0" y="0"/>
              </wp:wrapPolygon>
            </wp:wrapTight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73680" cy="205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widowControl/>
        <w:suppressLineNumbers w:val="0"/>
        <w:tabs>
          <w:tab w:val="left" w:pos="1455"/>
        </w:tabs>
        <w:spacing w:before="0" w:beforeAutospacing="0" w:after="160" w:afterAutospacing="0" w:line="360" w:lineRule="auto"/>
        <w:ind w:left="0" w:leftChars="0" w:right="0" w:firstLine="0" w:firstLineChars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eastAsia="zh-CN" w:bidi="ar"/>
          <w:woUserID w:val="1"/>
        </w:rPr>
      </w:pPr>
    </w:p>
    <w:p>
      <w:pPr>
        <w:keepNext w:val="0"/>
        <w:keepLines w:val="0"/>
        <w:widowControl/>
        <w:suppressLineNumbers w:val="0"/>
        <w:tabs>
          <w:tab w:val="left" w:pos="1455"/>
        </w:tabs>
        <w:spacing w:before="0" w:beforeAutospacing="0" w:after="160" w:afterAutospacing="0" w:line="360" w:lineRule="auto"/>
        <w:ind w:left="0" w:leftChars="0" w:right="0" w:firstLine="0" w:firstLineChars="0"/>
        <w:jc w:val="both"/>
        <w:rPr>
          <w:rFonts w:hint="default" w:ascii="Times New Roman" w:hAnsi="Times New Roman" w:eastAsia="宋体" w:cs="Times New Roman"/>
          <w:bCs/>
          <w:kern w:val="0"/>
          <w:sz w:val="24"/>
          <w:szCs w:val="24"/>
          <w:lang w:eastAsia="zh-CN" w:bidi="ar"/>
          <w:woUserID w:val="4"/>
        </w:rPr>
      </w:pPr>
    </w:p>
    <w:sectPr>
      <w:pgSz w:w="11850" w:h="16783"/>
      <w:pgMar w:top="1440" w:right="1440" w:bottom="1440" w:left="144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Noto Serif CJK SC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姚体">
    <w:altName w:val="汉仪书宋二KW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Myanmar Text">
    <w:altName w:val="Noto Sans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方正小标宋简体">
    <w:altName w:val="汉仪书宋二KW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altName w:val="汉仪旗黑KW 55S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Noto Serif CJK SC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Noto Sans">
    <w:panose1 w:val="020B0502040504020204"/>
    <w:charset w:val="00"/>
    <w:family w:val="auto"/>
    <w:pitch w:val="default"/>
    <w:sig w:usb0="E00002FF" w:usb1="4000001F" w:usb2="08000029" w:usb3="00100000" w:csb0="00000000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0E61F75"/>
    <w:multiLevelType w:val="singleLevel"/>
    <w:tmpl w:val="10E61F75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48854D1"/>
    <w:multiLevelType w:val="multilevel"/>
    <w:tmpl w:val="148854D1"/>
    <w:lvl w:ilvl="0" w:tentative="0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4C861E"/>
    <w:multiLevelType w:val="singleLevel"/>
    <w:tmpl w:val="274C86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75028FD"/>
    <w:multiLevelType w:val="multilevel"/>
    <w:tmpl w:val="375028FD"/>
    <w:lvl w:ilvl="0" w:tentative="0">
      <w:start w:val="1"/>
      <w:numFmt w:val="chineseCountingThousand"/>
      <w:lvlText w:val="(%1)"/>
      <w:lvlJc w:val="left"/>
      <w:pPr>
        <w:ind w:left="1680" w:hanging="420"/>
      </w:p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abstractNum w:abstractNumId="4">
    <w:nsid w:val="4AB415E0"/>
    <w:multiLevelType w:val="multilevel"/>
    <w:tmpl w:val="4AB415E0"/>
    <w:lvl w:ilvl="0" w:tentative="0">
      <w:start w:val="1"/>
      <w:numFmt w:val="chineseCountingThousand"/>
      <w:lvlText w:val="%1、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6C0242"/>
    <w:rsid w:val="000010DC"/>
    <w:rsid w:val="00003A08"/>
    <w:rsid w:val="000042AD"/>
    <w:rsid w:val="000350BC"/>
    <w:rsid w:val="00043622"/>
    <w:rsid w:val="00081FDD"/>
    <w:rsid w:val="00082AC4"/>
    <w:rsid w:val="00085BCB"/>
    <w:rsid w:val="000A3A9F"/>
    <w:rsid w:val="000B3065"/>
    <w:rsid w:val="000B5C90"/>
    <w:rsid w:val="000C7261"/>
    <w:rsid w:val="000D59D0"/>
    <w:rsid w:val="000E210D"/>
    <w:rsid w:val="00123346"/>
    <w:rsid w:val="00133450"/>
    <w:rsid w:val="00191C13"/>
    <w:rsid w:val="001A4547"/>
    <w:rsid w:val="001C76F3"/>
    <w:rsid w:val="001D5A5C"/>
    <w:rsid w:val="002076A9"/>
    <w:rsid w:val="002129AE"/>
    <w:rsid w:val="00214560"/>
    <w:rsid w:val="00237A42"/>
    <w:rsid w:val="00246FA5"/>
    <w:rsid w:val="0027113C"/>
    <w:rsid w:val="00276782"/>
    <w:rsid w:val="0028249B"/>
    <w:rsid w:val="002867D6"/>
    <w:rsid w:val="00290733"/>
    <w:rsid w:val="002B5D74"/>
    <w:rsid w:val="002C3F0B"/>
    <w:rsid w:val="0031035C"/>
    <w:rsid w:val="00311FC1"/>
    <w:rsid w:val="00312AFF"/>
    <w:rsid w:val="00351550"/>
    <w:rsid w:val="00371898"/>
    <w:rsid w:val="00383380"/>
    <w:rsid w:val="00393808"/>
    <w:rsid w:val="003A0914"/>
    <w:rsid w:val="003A1FB2"/>
    <w:rsid w:val="003A3338"/>
    <w:rsid w:val="003A3410"/>
    <w:rsid w:val="003C62E2"/>
    <w:rsid w:val="003D442D"/>
    <w:rsid w:val="003E401B"/>
    <w:rsid w:val="00410B62"/>
    <w:rsid w:val="00430CBA"/>
    <w:rsid w:val="004341ED"/>
    <w:rsid w:val="004553A8"/>
    <w:rsid w:val="00461FD9"/>
    <w:rsid w:val="00472510"/>
    <w:rsid w:val="00472C5F"/>
    <w:rsid w:val="00474FEC"/>
    <w:rsid w:val="00484594"/>
    <w:rsid w:val="00495A64"/>
    <w:rsid w:val="004970FF"/>
    <w:rsid w:val="004B0378"/>
    <w:rsid w:val="004C5797"/>
    <w:rsid w:val="004E48AA"/>
    <w:rsid w:val="00502D82"/>
    <w:rsid w:val="00521465"/>
    <w:rsid w:val="00535BDF"/>
    <w:rsid w:val="00540E58"/>
    <w:rsid w:val="00541CD2"/>
    <w:rsid w:val="00542DEF"/>
    <w:rsid w:val="005627D0"/>
    <w:rsid w:val="005818DC"/>
    <w:rsid w:val="005A2CBA"/>
    <w:rsid w:val="005A2E9F"/>
    <w:rsid w:val="005A345C"/>
    <w:rsid w:val="005B5A76"/>
    <w:rsid w:val="0060105E"/>
    <w:rsid w:val="00605D86"/>
    <w:rsid w:val="00613AED"/>
    <w:rsid w:val="006150EB"/>
    <w:rsid w:val="0064565A"/>
    <w:rsid w:val="006569CD"/>
    <w:rsid w:val="00664045"/>
    <w:rsid w:val="006943CE"/>
    <w:rsid w:val="0069569C"/>
    <w:rsid w:val="006A6287"/>
    <w:rsid w:val="006B0771"/>
    <w:rsid w:val="006C0242"/>
    <w:rsid w:val="006C0E08"/>
    <w:rsid w:val="006E42B0"/>
    <w:rsid w:val="00716AAF"/>
    <w:rsid w:val="00720C32"/>
    <w:rsid w:val="007226B0"/>
    <w:rsid w:val="00722722"/>
    <w:rsid w:val="007310BD"/>
    <w:rsid w:val="0073580C"/>
    <w:rsid w:val="00736660"/>
    <w:rsid w:val="00747C31"/>
    <w:rsid w:val="00771799"/>
    <w:rsid w:val="00797E59"/>
    <w:rsid w:val="007B2D5D"/>
    <w:rsid w:val="007D2341"/>
    <w:rsid w:val="007E0563"/>
    <w:rsid w:val="007E5167"/>
    <w:rsid w:val="007F21D4"/>
    <w:rsid w:val="007F67B1"/>
    <w:rsid w:val="00804184"/>
    <w:rsid w:val="00806148"/>
    <w:rsid w:val="00810EF5"/>
    <w:rsid w:val="0081702F"/>
    <w:rsid w:val="00824E51"/>
    <w:rsid w:val="00827E57"/>
    <w:rsid w:val="0085298E"/>
    <w:rsid w:val="00856557"/>
    <w:rsid w:val="008638A6"/>
    <w:rsid w:val="008758A5"/>
    <w:rsid w:val="008778F3"/>
    <w:rsid w:val="008B5EA2"/>
    <w:rsid w:val="008B755D"/>
    <w:rsid w:val="008C4B06"/>
    <w:rsid w:val="008F226D"/>
    <w:rsid w:val="008F2BBA"/>
    <w:rsid w:val="008F6056"/>
    <w:rsid w:val="00910440"/>
    <w:rsid w:val="009133F6"/>
    <w:rsid w:val="00921057"/>
    <w:rsid w:val="00925BEF"/>
    <w:rsid w:val="00925F35"/>
    <w:rsid w:val="0095686C"/>
    <w:rsid w:val="00963ED0"/>
    <w:rsid w:val="009825C0"/>
    <w:rsid w:val="009A1E35"/>
    <w:rsid w:val="009C321E"/>
    <w:rsid w:val="009F2DD5"/>
    <w:rsid w:val="00A057EE"/>
    <w:rsid w:val="00A12FF6"/>
    <w:rsid w:val="00A14FF4"/>
    <w:rsid w:val="00A15710"/>
    <w:rsid w:val="00A15E78"/>
    <w:rsid w:val="00A21E69"/>
    <w:rsid w:val="00A24351"/>
    <w:rsid w:val="00A3092C"/>
    <w:rsid w:val="00A377C3"/>
    <w:rsid w:val="00A41709"/>
    <w:rsid w:val="00A620C3"/>
    <w:rsid w:val="00A71867"/>
    <w:rsid w:val="00A876CD"/>
    <w:rsid w:val="00A97B00"/>
    <w:rsid w:val="00AA1BBA"/>
    <w:rsid w:val="00AA2C74"/>
    <w:rsid w:val="00AA72A2"/>
    <w:rsid w:val="00AD52D0"/>
    <w:rsid w:val="00AE0B10"/>
    <w:rsid w:val="00B11CDD"/>
    <w:rsid w:val="00B14E9B"/>
    <w:rsid w:val="00B20391"/>
    <w:rsid w:val="00B24E0A"/>
    <w:rsid w:val="00B27357"/>
    <w:rsid w:val="00B42DAC"/>
    <w:rsid w:val="00B431EF"/>
    <w:rsid w:val="00B46AE0"/>
    <w:rsid w:val="00B548C3"/>
    <w:rsid w:val="00B63333"/>
    <w:rsid w:val="00B66D20"/>
    <w:rsid w:val="00B93DF9"/>
    <w:rsid w:val="00BA139C"/>
    <w:rsid w:val="00BA569A"/>
    <w:rsid w:val="00BB2BF0"/>
    <w:rsid w:val="00BB7CE0"/>
    <w:rsid w:val="00BC17AD"/>
    <w:rsid w:val="00BD4D57"/>
    <w:rsid w:val="00C075FA"/>
    <w:rsid w:val="00C2518D"/>
    <w:rsid w:val="00C302E7"/>
    <w:rsid w:val="00C3354E"/>
    <w:rsid w:val="00C56060"/>
    <w:rsid w:val="00C613E8"/>
    <w:rsid w:val="00C674DB"/>
    <w:rsid w:val="00CB2847"/>
    <w:rsid w:val="00CC6782"/>
    <w:rsid w:val="00CD155B"/>
    <w:rsid w:val="00CE16A5"/>
    <w:rsid w:val="00CF279F"/>
    <w:rsid w:val="00D1196A"/>
    <w:rsid w:val="00D17E95"/>
    <w:rsid w:val="00D40BE0"/>
    <w:rsid w:val="00D63BDB"/>
    <w:rsid w:val="00D660A3"/>
    <w:rsid w:val="00D75316"/>
    <w:rsid w:val="00D86FC8"/>
    <w:rsid w:val="00D90A2E"/>
    <w:rsid w:val="00DA0EB5"/>
    <w:rsid w:val="00DB2877"/>
    <w:rsid w:val="00DD09B9"/>
    <w:rsid w:val="00DD0CA3"/>
    <w:rsid w:val="00DD3792"/>
    <w:rsid w:val="00DE3BCA"/>
    <w:rsid w:val="00DF2FE9"/>
    <w:rsid w:val="00DF4F98"/>
    <w:rsid w:val="00E0697B"/>
    <w:rsid w:val="00E11DED"/>
    <w:rsid w:val="00E2756D"/>
    <w:rsid w:val="00E403F1"/>
    <w:rsid w:val="00E7698C"/>
    <w:rsid w:val="00E80070"/>
    <w:rsid w:val="00E82BCA"/>
    <w:rsid w:val="00E870E9"/>
    <w:rsid w:val="00E9345C"/>
    <w:rsid w:val="00EA467F"/>
    <w:rsid w:val="00EA7C3B"/>
    <w:rsid w:val="00EC6DC1"/>
    <w:rsid w:val="00EC7756"/>
    <w:rsid w:val="00ED75CD"/>
    <w:rsid w:val="00ED7981"/>
    <w:rsid w:val="00EF2B24"/>
    <w:rsid w:val="00EF2E11"/>
    <w:rsid w:val="00EF53C2"/>
    <w:rsid w:val="00EF7D80"/>
    <w:rsid w:val="00F361E9"/>
    <w:rsid w:val="00F539AF"/>
    <w:rsid w:val="00F60924"/>
    <w:rsid w:val="00F677D3"/>
    <w:rsid w:val="00F726E2"/>
    <w:rsid w:val="00FB2660"/>
    <w:rsid w:val="00FB2D1F"/>
    <w:rsid w:val="00FD7489"/>
    <w:rsid w:val="00FD7A20"/>
    <w:rsid w:val="011E3D92"/>
    <w:rsid w:val="012F2443"/>
    <w:rsid w:val="013E4434"/>
    <w:rsid w:val="01D9415D"/>
    <w:rsid w:val="01E054EB"/>
    <w:rsid w:val="02316150"/>
    <w:rsid w:val="03984D0D"/>
    <w:rsid w:val="043D607A"/>
    <w:rsid w:val="05157BA2"/>
    <w:rsid w:val="05590DD3"/>
    <w:rsid w:val="058F4B72"/>
    <w:rsid w:val="06020126"/>
    <w:rsid w:val="060F45F1"/>
    <w:rsid w:val="06A765D7"/>
    <w:rsid w:val="07832BA1"/>
    <w:rsid w:val="07C1191B"/>
    <w:rsid w:val="080526A9"/>
    <w:rsid w:val="08275C22"/>
    <w:rsid w:val="094221DB"/>
    <w:rsid w:val="097A6225"/>
    <w:rsid w:val="09890BBA"/>
    <w:rsid w:val="099E3CC2"/>
    <w:rsid w:val="09BE4364"/>
    <w:rsid w:val="09F47D86"/>
    <w:rsid w:val="0A231720"/>
    <w:rsid w:val="0A231AC3"/>
    <w:rsid w:val="0A606228"/>
    <w:rsid w:val="0A740EC6"/>
    <w:rsid w:val="0AFE400E"/>
    <w:rsid w:val="0BFE4EEC"/>
    <w:rsid w:val="0C684A5B"/>
    <w:rsid w:val="0D570D57"/>
    <w:rsid w:val="0D5F3D91"/>
    <w:rsid w:val="0D705975"/>
    <w:rsid w:val="0D7C07BE"/>
    <w:rsid w:val="0EEC4476"/>
    <w:rsid w:val="0F9022FF"/>
    <w:rsid w:val="0F931868"/>
    <w:rsid w:val="0FA83AEC"/>
    <w:rsid w:val="0FD608F7"/>
    <w:rsid w:val="0FDD0327"/>
    <w:rsid w:val="103E1D5B"/>
    <w:rsid w:val="104071FE"/>
    <w:rsid w:val="10596B94"/>
    <w:rsid w:val="10E548CC"/>
    <w:rsid w:val="11211EFA"/>
    <w:rsid w:val="117C3B92"/>
    <w:rsid w:val="11AE4228"/>
    <w:rsid w:val="12394ECF"/>
    <w:rsid w:val="123A0C48"/>
    <w:rsid w:val="12AC48DF"/>
    <w:rsid w:val="130F1689"/>
    <w:rsid w:val="13141499"/>
    <w:rsid w:val="139549AD"/>
    <w:rsid w:val="139A197B"/>
    <w:rsid w:val="13AE4026"/>
    <w:rsid w:val="145A481D"/>
    <w:rsid w:val="15875F52"/>
    <w:rsid w:val="160C791C"/>
    <w:rsid w:val="162E2871"/>
    <w:rsid w:val="16B56AEF"/>
    <w:rsid w:val="17E551B2"/>
    <w:rsid w:val="17EA27C8"/>
    <w:rsid w:val="18747B1D"/>
    <w:rsid w:val="18CD45C3"/>
    <w:rsid w:val="190A1374"/>
    <w:rsid w:val="193006AE"/>
    <w:rsid w:val="19B117EF"/>
    <w:rsid w:val="1A457997"/>
    <w:rsid w:val="1A824F3A"/>
    <w:rsid w:val="1A9F5AEC"/>
    <w:rsid w:val="1ABC044C"/>
    <w:rsid w:val="1BCC0B62"/>
    <w:rsid w:val="1BEF21C7"/>
    <w:rsid w:val="1C76287C"/>
    <w:rsid w:val="1CFD2F9D"/>
    <w:rsid w:val="1D303373"/>
    <w:rsid w:val="1D660B43"/>
    <w:rsid w:val="1E5D3CF4"/>
    <w:rsid w:val="1E7159F1"/>
    <w:rsid w:val="1F023100"/>
    <w:rsid w:val="1F7E3D3C"/>
    <w:rsid w:val="20201EB0"/>
    <w:rsid w:val="2045774C"/>
    <w:rsid w:val="20783067"/>
    <w:rsid w:val="20B816B5"/>
    <w:rsid w:val="20C85AF0"/>
    <w:rsid w:val="210E1EDC"/>
    <w:rsid w:val="214C004F"/>
    <w:rsid w:val="21547C38"/>
    <w:rsid w:val="21617F9F"/>
    <w:rsid w:val="226F3FF6"/>
    <w:rsid w:val="234C2BEC"/>
    <w:rsid w:val="242332EA"/>
    <w:rsid w:val="25050C41"/>
    <w:rsid w:val="25204BCB"/>
    <w:rsid w:val="25393E1E"/>
    <w:rsid w:val="253E0C13"/>
    <w:rsid w:val="254774AC"/>
    <w:rsid w:val="25B34B41"/>
    <w:rsid w:val="25D23219"/>
    <w:rsid w:val="260B672B"/>
    <w:rsid w:val="27076EF2"/>
    <w:rsid w:val="275F6D2E"/>
    <w:rsid w:val="279D0DF3"/>
    <w:rsid w:val="28537F15"/>
    <w:rsid w:val="28844573"/>
    <w:rsid w:val="28C57065"/>
    <w:rsid w:val="28F434A6"/>
    <w:rsid w:val="29231FDE"/>
    <w:rsid w:val="293164A9"/>
    <w:rsid w:val="295B41B9"/>
    <w:rsid w:val="2967BC43"/>
    <w:rsid w:val="297F5466"/>
    <w:rsid w:val="29B56850"/>
    <w:rsid w:val="2A113020"/>
    <w:rsid w:val="2A293C3F"/>
    <w:rsid w:val="2ADF3CE2"/>
    <w:rsid w:val="2AE8703B"/>
    <w:rsid w:val="2B424790"/>
    <w:rsid w:val="2B5922C4"/>
    <w:rsid w:val="2C777031"/>
    <w:rsid w:val="2C8950F3"/>
    <w:rsid w:val="2C964F18"/>
    <w:rsid w:val="2CDB1C8A"/>
    <w:rsid w:val="2D314CC9"/>
    <w:rsid w:val="2D9B2143"/>
    <w:rsid w:val="2D9F762A"/>
    <w:rsid w:val="2E666FA0"/>
    <w:rsid w:val="2E6942EE"/>
    <w:rsid w:val="2EAD4823"/>
    <w:rsid w:val="2ED6BCD5"/>
    <w:rsid w:val="2F10455B"/>
    <w:rsid w:val="2FFDFA37"/>
    <w:rsid w:val="30B9173C"/>
    <w:rsid w:val="30E42053"/>
    <w:rsid w:val="316D3DF6"/>
    <w:rsid w:val="31757D2D"/>
    <w:rsid w:val="31F84007"/>
    <w:rsid w:val="327A2C6E"/>
    <w:rsid w:val="329830F5"/>
    <w:rsid w:val="32B83797"/>
    <w:rsid w:val="33091081"/>
    <w:rsid w:val="3337290D"/>
    <w:rsid w:val="3381002D"/>
    <w:rsid w:val="338D4C23"/>
    <w:rsid w:val="34344010"/>
    <w:rsid w:val="345D45F6"/>
    <w:rsid w:val="356B689E"/>
    <w:rsid w:val="364615D8"/>
    <w:rsid w:val="366F454B"/>
    <w:rsid w:val="36851BE2"/>
    <w:rsid w:val="36AE7894"/>
    <w:rsid w:val="3747333B"/>
    <w:rsid w:val="37877BD9"/>
    <w:rsid w:val="378B3228"/>
    <w:rsid w:val="37E6C32A"/>
    <w:rsid w:val="382947EF"/>
    <w:rsid w:val="38B92017"/>
    <w:rsid w:val="38D155B2"/>
    <w:rsid w:val="39581830"/>
    <w:rsid w:val="39D54C2E"/>
    <w:rsid w:val="39F97617"/>
    <w:rsid w:val="3A48386E"/>
    <w:rsid w:val="3A886145"/>
    <w:rsid w:val="3AB85CDF"/>
    <w:rsid w:val="3AD3FE8F"/>
    <w:rsid w:val="3AD7D8DA"/>
    <w:rsid w:val="3ADC0F2C"/>
    <w:rsid w:val="3AF235BE"/>
    <w:rsid w:val="3BFFC3B6"/>
    <w:rsid w:val="3C2F4ACA"/>
    <w:rsid w:val="3C7626F9"/>
    <w:rsid w:val="3C8D5BCD"/>
    <w:rsid w:val="3C964B49"/>
    <w:rsid w:val="3D6469F5"/>
    <w:rsid w:val="3DF739E0"/>
    <w:rsid w:val="3EAFB905"/>
    <w:rsid w:val="3EFD1610"/>
    <w:rsid w:val="3F7D39C8"/>
    <w:rsid w:val="3FBBF50D"/>
    <w:rsid w:val="3FBF02D5"/>
    <w:rsid w:val="3FD414E4"/>
    <w:rsid w:val="3FDF1B16"/>
    <w:rsid w:val="3FFF6224"/>
    <w:rsid w:val="408E5B37"/>
    <w:rsid w:val="409C46F8"/>
    <w:rsid w:val="40DE76A7"/>
    <w:rsid w:val="41605725"/>
    <w:rsid w:val="41790595"/>
    <w:rsid w:val="41C31810"/>
    <w:rsid w:val="41FE04B5"/>
    <w:rsid w:val="42287E86"/>
    <w:rsid w:val="42412D15"/>
    <w:rsid w:val="429F0835"/>
    <w:rsid w:val="42C34B3C"/>
    <w:rsid w:val="42C43A92"/>
    <w:rsid w:val="431B5DA8"/>
    <w:rsid w:val="433F1677"/>
    <w:rsid w:val="435E6F8B"/>
    <w:rsid w:val="443609BF"/>
    <w:rsid w:val="446B52C3"/>
    <w:rsid w:val="450B3BFA"/>
    <w:rsid w:val="45462E84"/>
    <w:rsid w:val="45703A5D"/>
    <w:rsid w:val="46C85C52"/>
    <w:rsid w:val="46E93AC7"/>
    <w:rsid w:val="47D429C9"/>
    <w:rsid w:val="47DB78B4"/>
    <w:rsid w:val="48194880"/>
    <w:rsid w:val="487379B5"/>
    <w:rsid w:val="49170DBF"/>
    <w:rsid w:val="494A1F9F"/>
    <w:rsid w:val="4953791E"/>
    <w:rsid w:val="49830203"/>
    <w:rsid w:val="49FE3D2D"/>
    <w:rsid w:val="4A1E1CDA"/>
    <w:rsid w:val="4A2A4B22"/>
    <w:rsid w:val="4A69564B"/>
    <w:rsid w:val="4AA743C5"/>
    <w:rsid w:val="4AC960E9"/>
    <w:rsid w:val="4AE42F23"/>
    <w:rsid w:val="4B0709C0"/>
    <w:rsid w:val="4D3F08E5"/>
    <w:rsid w:val="4D693B73"/>
    <w:rsid w:val="4D6B792C"/>
    <w:rsid w:val="4D7B3000"/>
    <w:rsid w:val="4D7D153A"/>
    <w:rsid w:val="4DF47921"/>
    <w:rsid w:val="4E0D1E49"/>
    <w:rsid w:val="4E6879C7"/>
    <w:rsid w:val="4E950B84"/>
    <w:rsid w:val="4EBB043F"/>
    <w:rsid w:val="4EE01C53"/>
    <w:rsid w:val="4EEB453A"/>
    <w:rsid w:val="4F255F05"/>
    <w:rsid w:val="501538B2"/>
    <w:rsid w:val="50903EC3"/>
    <w:rsid w:val="50BD049E"/>
    <w:rsid w:val="512733EF"/>
    <w:rsid w:val="51487A0D"/>
    <w:rsid w:val="51907961"/>
    <w:rsid w:val="521E1871"/>
    <w:rsid w:val="52707792"/>
    <w:rsid w:val="52B551A5"/>
    <w:rsid w:val="52C35339"/>
    <w:rsid w:val="538B66AA"/>
    <w:rsid w:val="54106B37"/>
    <w:rsid w:val="54AD4386"/>
    <w:rsid w:val="553B7BE4"/>
    <w:rsid w:val="553D11E6"/>
    <w:rsid w:val="55D1679A"/>
    <w:rsid w:val="570F4F7D"/>
    <w:rsid w:val="57F04B15"/>
    <w:rsid w:val="57F319BA"/>
    <w:rsid w:val="58294047"/>
    <w:rsid w:val="585C67EF"/>
    <w:rsid w:val="597E50E4"/>
    <w:rsid w:val="59EB74E5"/>
    <w:rsid w:val="59FF09CF"/>
    <w:rsid w:val="5A7F67C4"/>
    <w:rsid w:val="5AEA355F"/>
    <w:rsid w:val="5AFC48A7"/>
    <w:rsid w:val="5B020814"/>
    <w:rsid w:val="5B296730"/>
    <w:rsid w:val="5B3F0CB3"/>
    <w:rsid w:val="5BD32E28"/>
    <w:rsid w:val="5C156FF2"/>
    <w:rsid w:val="5C4B1054"/>
    <w:rsid w:val="5C6C2D78"/>
    <w:rsid w:val="5CB564CD"/>
    <w:rsid w:val="5CC93D27"/>
    <w:rsid w:val="5D891708"/>
    <w:rsid w:val="5DAF4895"/>
    <w:rsid w:val="5DD40BD5"/>
    <w:rsid w:val="5EC46E9C"/>
    <w:rsid w:val="5F166FCB"/>
    <w:rsid w:val="5F61293D"/>
    <w:rsid w:val="5FA12D39"/>
    <w:rsid w:val="5FCE2238"/>
    <w:rsid w:val="6110461A"/>
    <w:rsid w:val="611C2FBF"/>
    <w:rsid w:val="627B1F67"/>
    <w:rsid w:val="63260125"/>
    <w:rsid w:val="633F4D43"/>
    <w:rsid w:val="63400ABB"/>
    <w:rsid w:val="636F01DF"/>
    <w:rsid w:val="63DA48B1"/>
    <w:rsid w:val="646B1B68"/>
    <w:rsid w:val="64740A1C"/>
    <w:rsid w:val="647450A4"/>
    <w:rsid w:val="64F25C30"/>
    <w:rsid w:val="64F3415E"/>
    <w:rsid w:val="66857090"/>
    <w:rsid w:val="66AD46B9"/>
    <w:rsid w:val="67705E13"/>
    <w:rsid w:val="67876BE2"/>
    <w:rsid w:val="67A41618"/>
    <w:rsid w:val="67B0620F"/>
    <w:rsid w:val="67BB4F05"/>
    <w:rsid w:val="67BC2E06"/>
    <w:rsid w:val="67D53EC8"/>
    <w:rsid w:val="685E5C6B"/>
    <w:rsid w:val="691D5B26"/>
    <w:rsid w:val="698FF624"/>
    <w:rsid w:val="6A102F95"/>
    <w:rsid w:val="6AA87672"/>
    <w:rsid w:val="6B623CC4"/>
    <w:rsid w:val="6B7C465A"/>
    <w:rsid w:val="6B8005EE"/>
    <w:rsid w:val="6BDA342C"/>
    <w:rsid w:val="6BFD900F"/>
    <w:rsid w:val="6CFE5C6F"/>
    <w:rsid w:val="6D07255C"/>
    <w:rsid w:val="6D9E2FAE"/>
    <w:rsid w:val="6DC9002B"/>
    <w:rsid w:val="6E9FC17F"/>
    <w:rsid w:val="6EC72090"/>
    <w:rsid w:val="6EFA8A46"/>
    <w:rsid w:val="6F236FBB"/>
    <w:rsid w:val="6FB6FD72"/>
    <w:rsid w:val="6FFB3681"/>
    <w:rsid w:val="70A02B99"/>
    <w:rsid w:val="70DD6A03"/>
    <w:rsid w:val="714A4F80"/>
    <w:rsid w:val="717007BD"/>
    <w:rsid w:val="71867FE1"/>
    <w:rsid w:val="71EC078C"/>
    <w:rsid w:val="72141A90"/>
    <w:rsid w:val="729624A5"/>
    <w:rsid w:val="734D7A58"/>
    <w:rsid w:val="73DB7CBD"/>
    <w:rsid w:val="74031DBD"/>
    <w:rsid w:val="740873D3"/>
    <w:rsid w:val="751002ED"/>
    <w:rsid w:val="75241FEA"/>
    <w:rsid w:val="75A44ED9"/>
    <w:rsid w:val="75B25848"/>
    <w:rsid w:val="75FD90EF"/>
    <w:rsid w:val="761262E7"/>
    <w:rsid w:val="7662101C"/>
    <w:rsid w:val="76BF646F"/>
    <w:rsid w:val="76DF08BF"/>
    <w:rsid w:val="77244524"/>
    <w:rsid w:val="774D15C0"/>
    <w:rsid w:val="77505319"/>
    <w:rsid w:val="776BEDBE"/>
    <w:rsid w:val="77972F48"/>
    <w:rsid w:val="77A45665"/>
    <w:rsid w:val="77B20AA1"/>
    <w:rsid w:val="77C67389"/>
    <w:rsid w:val="77CD4BBB"/>
    <w:rsid w:val="77E7262A"/>
    <w:rsid w:val="78CF04BF"/>
    <w:rsid w:val="79363E51"/>
    <w:rsid w:val="793F10CB"/>
    <w:rsid w:val="7956298E"/>
    <w:rsid w:val="7961697B"/>
    <w:rsid w:val="79975617"/>
    <w:rsid w:val="79B617A5"/>
    <w:rsid w:val="7B9FD6FB"/>
    <w:rsid w:val="7BB340C8"/>
    <w:rsid w:val="7BDE7397"/>
    <w:rsid w:val="7BFF48F7"/>
    <w:rsid w:val="7C2E374F"/>
    <w:rsid w:val="7C5E2286"/>
    <w:rsid w:val="7C5F1794"/>
    <w:rsid w:val="7C9FDF82"/>
    <w:rsid w:val="7CDB7433"/>
    <w:rsid w:val="7D410C95"/>
    <w:rsid w:val="7D6E474B"/>
    <w:rsid w:val="7D7BC143"/>
    <w:rsid w:val="7D9C138C"/>
    <w:rsid w:val="7DCD66BB"/>
    <w:rsid w:val="7DEC566F"/>
    <w:rsid w:val="7DF32EA2"/>
    <w:rsid w:val="7E3239CA"/>
    <w:rsid w:val="7EBC14E6"/>
    <w:rsid w:val="7EBE717F"/>
    <w:rsid w:val="7ED625A7"/>
    <w:rsid w:val="7EF82E56"/>
    <w:rsid w:val="7F37C850"/>
    <w:rsid w:val="7F535727"/>
    <w:rsid w:val="7FB5531C"/>
    <w:rsid w:val="7FD12D6F"/>
    <w:rsid w:val="7FEB0BA3"/>
    <w:rsid w:val="7FF33335"/>
    <w:rsid w:val="7FFAE14B"/>
    <w:rsid w:val="7FFD8D47"/>
    <w:rsid w:val="8EED7CEA"/>
    <w:rsid w:val="8F6F5C8F"/>
    <w:rsid w:val="967D57E0"/>
    <w:rsid w:val="9ADBBC69"/>
    <w:rsid w:val="9ECF7621"/>
    <w:rsid w:val="9FBEAE00"/>
    <w:rsid w:val="9FF58960"/>
    <w:rsid w:val="A4FF0B08"/>
    <w:rsid w:val="AD7FA7F5"/>
    <w:rsid w:val="AF3F9AD9"/>
    <w:rsid w:val="AFD75184"/>
    <w:rsid w:val="B1DBE2E7"/>
    <w:rsid w:val="B57B38FA"/>
    <w:rsid w:val="BB89933A"/>
    <w:rsid w:val="BDBD0AB2"/>
    <w:rsid w:val="BE5F4B38"/>
    <w:rsid w:val="BEF90317"/>
    <w:rsid w:val="BFFCC5B2"/>
    <w:rsid w:val="BFFE990F"/>
    <w:rsid w:val="BFFED2B2"/>
    <w:rsid w:val="CE3F4346"/>
    <w:rsid w:val="CF962A63"/>
    <w:rsid w:val="D3F8DFBB"/>
    <w:rsid w:val="D626D827"/>
    <w:rsid w:val="D7EBC3DC"/>
    <w:rsid w:val="DBF7A5D5"/>
    <w:rsid w:val="DC7E5D6D"/>
    <w:rsid w:val="DEEEC4F6"/>
    <w:rsid w:val="DFE70605"/>
    <w:rsid w:val="E7BB3CAB"/>
    <w:rsid w:val="EA3C918D"/>
    <w:rsid w:val="EBBC276E"/>
    <w:rsid w:val="ED492FB0"/>
    <w:rsid w:val="ED7B095C"/>
    <w:rsid w:val="EE2DD153"/>
    <w:rsid w:val="EEF926E9"/>
    <w:rsid w:val="F4FDA046"/>
    <w:rsid w:val="F5FBC550"/>
    <w:rsid w:val="F67E87E5"/>
    <w:rsid w:val="F7F86987"/>
    <w:rsid w:val="F8BDEAD5"/>
    <w:rsid w:val="F966094B"/>
    <w:rsid w:val="F9AF4051"/>
    <w:rsid w:val="FA7D09EE"/>
    <w:rsid w:val="FAEB0C93"/>
    <w:rsid w:val="FB7303B8"/>
    <w:rsid w:val="FCCE7A3C"/>
    <w:rsid w:val="FD7A06B6"/>
    <w:rsid w:val="FEA9580A"/>
    <w:rsid w:val="FEB756D8"/>
    <w:rsid w:val="FEF1D5B0"/>
    <w:rsid w:val="FEFD838C"/>
    <w:rsid w:val="FEFF09BE"/>
    <w:rsid w:val="FF3B1C6C"/>
    <w:rsid w:val="FF5F77BF"/>
    <w:rsid w:val="FFEF4AFE"/>
    <w:rsid w:val="FFEFF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next w:val="1"/>
    <w:qFormat/>
    <w:uiPriority w:val="0"/>
    <w:pPr>
      <w:spacing w:line="360" w:lineRule="auto"/>
      <w:ind w:firstLine="200" w:firstLineChars="200"/>
    </w:pPr>
    <w:rPr>
      <w:rFonts w:eastAsia="方正姚体"/>
      <w:szCs w:val="22"/>
    </w:rPr>
  </w:style>
  <w:style w:type="paragraph" w:styleId="6">
    <w:name w:val="Balloon Text"/>
    <w:basedOn w:val="1"/>
    <w:link w:val="27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3">
    <w:name w:val="Table Grid"/>
    <w:basedOn w:val="12"/>
    <w:unhideWhenUsed/>
    <w:qFormat/>
    <w:uiPriority w:val="99"/>
    <w:pPr>
      <w:widowControl w:val="0"/>
      <w:spacing w:after="200" w:line="276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FollowedHyperlink"/>
    <w:basedOn w:val="14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8">
    <w:name w:val="List Paragraph"/>
    <w:basedOn w:val="1"/>
    <w:qFormat/>
    <w:uiPriority w:val="34"/>
    <w:pPr>
      <w:widowControl/>
      <w:spacing w:after="160" w:line="259" w:lineRule="auto"/>
      <w:ind w:left="720"/>
      <w:contextualSpacing/>
      <w:jc w:val="left"/>
    </w:pPr>
    <w:rPr>
      <w:kern w:val="0"/>
      <w:sz w:val="22"/>
      <w:szCs w:val="22"/>
      <w:lang w:eastAsia="en-US"/>
    </w:rPr>
  </w:style>
  <w:style w:type="character" w:customStyle="1" w:styleId="19">
    <w:name w:val="标题 3 字符"/>
    <w:basedOn w:val="14"/>
    <w:link w:val="4"/>
    <w:qFormat/>
    <w:uiPriority w:val="9"/>
    <w:rPr>
      <w:b/>
      <w:bCs/>
      <w:sz w:val="32"/>
      <w:szCs w:val="32"/>
    </w:rPr>
  </w:style>
  <w:style w:type="paragraph" w:customStyle="1" w:styleId="20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21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22">
    <w:name w:val="页眉 字符"/>
    <w:basedOn w:val="14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页脚 字符"/>
    <w:basedOn w:val="14"/>
    <w:link w:val="7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标题 1 字符"/>
    <w:basedOn w:val="14"/>
    <w:link w:val="2"/>
    <w:qFormat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customStyle="1" w:styleId="25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character" w:customStyle="1" w:styleId="2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批注框文本 字符"/>
    <w:basedOn w:val="14"/>
    <w:link w:val="6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8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720" w:right="0"/>
      <w:contextualSpacing/>
      <w:jc w:val="both"/>
    </w:pPr>
    <w:rPr>
      <w:rFonts w:hint="eastAsia" w:ascii="等线" w:hAnsi="等线" w:eastAsia="等线" w:cs="Myanmar Text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832</Words>
  <Characters>883</Characters>
  <Lines>1</Lines>
  <Paragraphs>1</Paragraphs>
  <TotalTime>104</TotalTime>
  <ScaleCrop>false</ScaleCrop>
  <LinksUpToDate>false</LinksUpToDate>
  <CharactersWithSpaces>919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2020-11-04T14:36:00Z</dcterms:created>
  <dc:creator>Zixuan Feng</dc:creator>
  <cp:lastModifiedBy>David Chen</cp:lastModifiedBy>
  <cp:lastPrinted>2024-03-22T16:49:00Z</cp:lastPrinted>
  <dcterms:modified xsi:type="dcterms:W3CDTF">2025-10-31T19:31:57Z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B35A42E1BD4F47E7B5F02586DD071D69</vt:lpwstr>
  </property>
  <property fmtid="{D5CDD505-2E9C-101B-9397-08002B2CF9AE}" pid="4" name="KSOTemplateDocerSaveRecord">
    <vt:lpwstr>eyJoZGlkIjoiNzRkYzA5ZGJiNGI3ZmEyMmQzZGU1MGFhN2RmYWQwZDQiLCJ1c2VySWQiOiIzMDE0NDcyODIifQ==</vt:lpwstr>
  </property>
</Properties>
</file>