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6037ED">
      <w:pPr>
        <w:ind w:firstLine="0" w:firstLineChars="0"/>
        <w:jc w:val="center"/>
        <w:rPr>
          <w:kern w:val="0"/>
          <w:sz w:val="24"/>
          <w:szCs w:val="24"/>
        </w:rPr>
      </w:pPr>
    </w:p>
    <w:p w14:paraId="343A199B">
      <w:pPr>
        <w:pStyle w:val="2"/>
        <w:suppressLineNumbers w:val="0"/>
        <w:spacing w:beforeLines="-2147483648" w:beforeAutospacing="0" w:after="175" w:afterLines="-2147483648" w:afterAutospacing="0" w:line="240" w:lineRule="auto"/>
        <w:ind w:left="0" w:firstLine="0" w:firstLineChars="0"/>
        <w:jc w:val="both"/>
        <w:rPr>
          <w:rFonts w:hint="eastAsia" w:ascii="汉仪书宋二简" w:hAnsi="汉仪书宋二简" w:eastAsia="汉仪书宋二简" w:cs="汉仪书宋二简"/>
          <w:b/>
          <w:bCs w:val="0"/>
          <w:color w:val="000000"/>
          <w:kern w:val="2"/>
          <w:sz w:val="36"/>
          <w:szCs w:val="36"/>
          <w:lang w:val="en-US" w:eastAsia="zh-CN" w:bidi="ar-SA"/>
        </w:rPr>
      </w:pPr>
    </w:p>
    <w:p w14:paraId="33F9AE60">
      <w:pPr>
        <w:pStyle w:val="2"/>
        <w:suppressLineNumbers w:val="0"/>
        <w:spacing w:beforeLines="-2147483648" w:beforeAutospacing="0" w:after="175" w:afterLines="-2147483648" w:afterAutospacing="0" w:line="240" w:lineRule="auto"/>
        <w:ind w:left="0" w:firstLine="0" w:firstLineChars="0"/>
        <w:jc w:val="center"/>
        <w:rPr>
          <w:rFonts w:hint="default" w:ascii="汉仪书宋二简" w:hAnsi="汉仪书宋二简" w:eastAsia="汉仪书宋二简" w:cs="汉仪书宋二简"/>
          <w:b/>
          <w:bCs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汉仪书宋二简" w:hAnsi="汉仪书宋二简" w:eastAsia="汉仪书宋二简" w:cs="汉仪书宋二简"/>
          <w:b/>
          <w:bCs w:val="0"/>
          <w:color w:val="000000"/>
          <w:kern w:val="2"/>
          <w:sz w:val="44"/>
          <w:szCs w:val="44"/>
          <w:lang w:val="en-US" w:eastAsia="zh-CN" w:bidi="ar-SA"/>
        </w:rPr>
        <w:t>乡村工匠赋能计划2025年三季度进展报告</w:t>
      </w:r>
    </w:p>
    <w:p w14:paraId="7B7A0FA3">
      <w:pPr>
        <w:ind w:firstLine="0" w:firstLineChars="0"/>
        <w:jc w:val="center"/>
        <w:rPr>
          <w:rFonts w:ascii="方正小标宋简体" w:hAnsi="方正小标宋简体"/>
          <w:b/>
          <w:sz w:val="44"/>
          <w:szCs w:val="44"/>
        </w:rPr>
      </w:pPr>
    </w:p>
    <w:p w14:paraId="324D027E">
      <w:pPr>
        <w:ind w:firstLine="0" w:firstLineChars="0"/>
        <w:jc w:val="center"/>
        <w:rPr>
          <w:rFonts w:ascii="方正小标宋简体" w:hAnsi="方正小标宋简体"/>
          <w:b/>
          <w:sz w:val="44"/>
          <w:szCs w:val="4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-318770</wp:posOffset>
            </wp:positionH>
            <wp:positionV relativeFrom="paragraph">
              <wp:posOffset>680085</wp:posOffset>
            </wp:positionV>
            <wp:extent cx="5927090" cy="3442970"/>
            <wp:effectExtent l="0" t="0" r="3810" b="11430"/>
            <wp:wrapSquare wrapText="bothSides"/>
            <wp:docPr id="13985275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527530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090" cy="3442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DD0D87">
      <w:pPr>
        <w:ind w:firstLine="0" w:firstLineChars="0"/>
        <w:jc w:val="center"/>
        <w:rPr>
          <w:rFonts w:ascii="仿宋" w:hAnsi="仿宋" w:eastAsia="仿宋"/>
          <w:b/>
        </w:rPr>
      </w:pPr>
    </w:p>
    <w:p w14:paraId="7F4BCF5F">
      <w:pPr>
        <w:ind w:firstLine="0" w:firstLineChars="0"/>
        <w:jc w:val="center"/>
        <w:rPr>
          <w:rFonts w:hint="eastAsia" w:ascii="宋体" w:hAnsi="宋体"/>
          <w:b/>
          <w:sz w:val="44"/>
          <w:szCs w:val="44"/>
        </w:rPr>
      </w:pPr>
    </w:p>
    <w:p w14:paraId="4F7DF22B">
      <w:pPr>
        <w:ind w:firstLine="0" w:firstLineChars="0"/>
        <w:jc w:val="center"/>
        <w:rPr>
          <w:rFonts w:hint="eastAsia" w:ascii="宋体" w:hAnsi="宋体"/>
          <w:b/>
          <w:sz w:val="44"/>
          <w:szCs w:val="44"/>
        </w:rPr>
      </w:pPr>
    </w:p>
    <w:p w14:paraId="437EAC44">
      <w:pPr>
        <w:spacing w:line="240" w:lineRule="auto"/>
        <w:ind w:firstLine="0" w:firstLineChars="0"/>
        <w:jc w:val="center"/>
        <w:rPr>
          <w:rFonts w:hint="eastAsia" w:ascii="方正小标宋简体" w:eastAsia="方正小标宋简体" w:hAnsiTheme="minorHAnsi"/>
          <w:b/>
          <w:bCs/>
          <w:sz w:val="32"/>
          <w:szCs w:val="36"/>
        </w:rPr>
      </w:pPr>
      <w:r>
        <w:rPr>
          <w:rFonts w:hint="eastAsia" w:ascii="方正小标宋简体" w:eastAsia="方正小标宋简体" w:hAnsiTheme="minorHAnsi"/>
          <w:b/>
          <w:bCs/>
          <w:sz w:val="32"/>
          <w:szCs w:val="36"/>
        </w:rPr>
        <w:t>中国乡村发展基金会</w:t>
      </w:r>
    </w:p>
    <w:p w14:paraId="72829F93">
      <w:pPr>
        <w:spacing w:line="240" w:lineRule="auto"/>
        <w:ind w:firstLine="0" w:firstLineChars="0"/>
        <w:jc w:val="center"/>
        <w:rPr>
          <w:rFonts w:hint="eastAsia" w:ascii="方正小标宋简体" w:eastAsia="方正小标宋简体" w:hAnsiTheme="minorHAnsi"/>
          <w:b/>
          <w:bCs/>
          <w:sz w:val="32"/>
          <w:szCs w:val="36"/>
        </w:rPr>
        <w:sectPr>
          <w:headerReference r:id="rId4" w:type="first"/>
          <w:footerReference r:id="rId6" w:type="first"/>
          <w:headerReference r:id="rId3" w:type="even"/>
          <w:footerReference r:id="rId5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eastAsia="方正小标宋简体" w:hAnsiTheme="minorHAnsi"/>
          <w:b/>
          <w:bCs/>
          <w:sz w:val="32"/>
          <w:szCs w:val="36"/>
        </w:rPr>
        <w:t>二零二</w:t>
      </w:r>
      <w:r>
        <w:rPr>
          <w:rFonts w:hint="eastAsia" w:ascii="方正小标宋简体" w:eastAsia="方正小标宋简体"/>
          <w:b/>
          <w:bCs/>
          <w:sz w:val="32"/>
          <w:szCs w:val="36"/>
          <w:lang w:val="en-US" w:eastAsia="zh-CN"/>
        </w:rPr>
        <w:t>五</w:t>
      </w:r>
      <w:r>
        <w:rPr>
          <w:rFonts w:hint="eastAsia" w:ascii="汉仪书宋二简" w:hAnsi="汉仪书宋二简" w:eastAsia="汉仪书宋二简" w:cs="汉仪书宋二简"/>
          <w:b/>
          <w:bCs/>
          <w:sz w:val="32"/>
          <w:szCs w:val="36"/>
          <w:lang w:val="en-US" w:eastAsia="zh-CN"/>
        </w:rPr>
        <w:t>年十</w:t>
      </w:r>
      <w:r>
        <w:rPr>
          <w:rFonts w:hint="eastAsia" w:ascii="方正小标宋简体" w:eastAsia="方正小标宋简体" w:hAnsiTheme="minorHAnsi"/>
          <w:b/>
          <w:bCs/>
          <w:sz w:val="32"/>
          <w:szCs w:val="36"/>
        </w:rPr>
        <w:t>月</w:t>
      </w:r>
    </w:p>
    <w:p w14:paraId="390AE66F">
      <w:pPr>
        <w:pStyle w:val="2"/>
        <w:numPr>
          <w:ilvl w:val="0"/>
          <w:numId w:val="0"/>
        </w:numPr>
        <w:ind w:firstLine="640" w:firstLineChars="200"/>
        <w:jc w:val="both"/>
        <w:rPr>
          <w:rFonts w:hint="eastAsia"/>
          <w:sz w:val="32"/>
        </w:rPr>
      </w:pPr>
      <w:bookmarkStart w:id="0" w:name="_Toc77689988"/>
      <w:r>
        <w:rPr>
          <w:rFonts w:hint="eastAsia"/>
          <w:sz w:val="32"/>
          <w:lang w:val="en-US" w:eastAsia="zh-CN"/>
        </w:rPr>
        <w:t>一、</w:t>
      </w:r>
      <w:r>
        <w:rPr>
          <w:rFonts w:hint="eastAsia"/>
          <w:sz w:val="32"/>
        </w:rPr>
        <w:t>项目介绍</w:t>
      </w:r>
      <w:bookmarkEnd w:id="0"/>
    </w:p>
    <w:p w14:paraId="732E58D7">
      <w:pPr>
        <w:ind w:firstLine="560" w:firstLineChars="20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针对乡村工匠经营发展能力欠缺、缺乏文化挖掘与展示、带动产业增收效果不明显等问题，中国乡村发展基金会于2023年发起乡村工匠赋能计划，通过工匠学堂、传承空间、产业扶持等举措，提升乡村工匠的经营发展能力，加强文化挖掘与传承展示，助力乡村特色产业发展与农民增收，促进乡村可持续发展。</w:t>
      </w:r>
    </w:p>
    <w:p w14:paraId="4A6D7326">
      <w:pPr>
        <w:pStyle w:val="2"/>
        <w:numPr>
          <w:ilvl w:val="0"/>
          <w:numId w:val="0"/>
        </w:numPr>
        <w:ind w:firstLine="640" w:firstLineChars="200"/>
        <w:jc w:val="both"/>
        <w:rPr>
          <w:rFonts w:hint="eastAsia"/>
          <w:sz w:val="32"/>
          <w:lang w:val="en-US" w:eastAsia="zh-CN"/>
        </w:rPr>
      </w:pPr>
      <w:r>
        <w:rPr>
          <w:rFonts w:hint="eastAsia"/>
          <w:sz w:val="32"/>
          <w:lang w:val="en-US" w:eastAsia="zh-CN"/>
        </w:rPr>
        <w:t>二、项目财务情况</w:t>
      </w:r>
    </w:p>
    <w:p w14:paraId="60CC0A9E">
      <w:pPr>
        <w:ind w:firstLine="560" w:firstLineChars="200"/>
        <w:jc w:val="left"/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Hans" w:bidi="ar-SA"/>
        </w:rPr>
        <w:t>202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CN" w:bidi="ar-SA"/>
        </w:rPr>
        <w:t>5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Hans" w:bidi="ar-SA"/>
        </w:rPr>
        <w:t>年第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CN" w:bidi="ar-SA"/>
        </w:rPr>
        <w:t>三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Hans" w:bidi="ar-SA"/>
        </w:rPr>
        <w:t>季度</w:t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乡村工匠赋能计划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Hans" w:bidi="ar-SA"/>
        </w:rPr>
        <w:t>收入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CN" w:bidi="ar-SA"/>
        </w:rPr>
        <w:t>5011189.96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Hans" w:bidi="ar-SA"/>
        </w:rPr>
        <w:t>元，</w:t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支出1119217.07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Hans" w:bidi="ar-SA"/>
        </w:rPr>
        <w:t>元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CN" w:bidi="ar-SA"/>
        </w:rPr>
        <w:t>，当期结余20733522.60元</w:t>
      </w:r>
      <w:r>
        <w:rPr>
          <w:rFonts w:hint="eastAsia" w:ascii="宋体" w:hAnsi="宋体" w:eastAsia="宋体" w:cstheme="minorBidi"/>
          <w:b w:val="0"/>
          <w:bCs w:val="0"/>
          <w:kern w:val="2"/>
          <w:sz w:val="28"/>
          <w:szCs w:val="22"/>
          <w:lang w:val="en-US" w:eastAsia="zh-Hans" w:bidi="ar-SA"/>
        </w:rPr>
        <w:t>。</w:t>
      </w:r>
    </w:p>
    <w:p w14:paraId="4395EA23">
      <w:pPr>
        <w:pStyle w:val="2"/>
        <w:numPr>
          <w:ilvl w:val="0"/>
          <w:numId w:val="0"/>
        </w:numPr>
        <w:ind w:firstLine="640" w:firstLineChars="200"/>
        <w:jc w:val="both"/>
        <w:rPr>
          <w:rFonts w:hint="eastAsia"/>
          <w:sz w:val="32"/>
          <w:lang w:val="en-US" w:eastAsia="zh-CN"/>
        </w:rPr>
      </w:pPr>
      <w:r>
        <w:rPr>
          <w:rFonts w:hint="eastAsia"/>
          <w:sz w:val="32"/>
          <w:lang w:val="en-US" w:eastAsia="zh-CN"/>
        </w:rPr>
        <w:t>三、项目进展</w:t>
      </w:r>
    </w:p>
    <w:p w14:paraId="3C6146D6">
      <w:p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（一）幻方-乡村工匠项目</w:t>
      </w:r>
    </w:p>
    <w:p w14:paraId="3C1F49C8">
      <w:pPr>
        <w:numPr>
          <w:ilvl w:val="0"/>
          <w:numId w:val="0"/>
        </w:numPr>
        <w:ind w:left="560" w:leftChars="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1.察县—传统弓箭</w:t>
      </w:r>
    </w:p>
    <w:p w14:paraId="2D5EDCD9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7-9月，完成传统弓箭传承空间主体部分的提升改造，分为实物展览部分和互动体验部分</w:t>
      </w: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。</w:t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制作一套</w:t>
      </w: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培训教材</w:t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，计划</w:t>
      </w: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在年底学徒培训中投入使用。支持锡伯族弓箭制作技艺传承人1名，前往青海省尖扎县参展，设置“文化问答区”，弓箭文化推介覆盖人员日均1000人次以上。</w:t>
      </w:r>
    </w:p>
    <w:p w14:paraId="191C1594">
      <w:pPr>
        <w:widowControl w:val="0"/>
        <w:numPr>
          <w:ilvl w:val="0"/>
          <w:numId w:val="0"/>
        </w:numPr>
        <w:ind w:left="560" w:leftChars="0"/>
        <w:jc w:val="center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 xml:space="preserve"> </w:t>
      </w:r>
      <w:r>
        <w:drawing>
          <wp:inline distT="0" distB="0" distL="114300" distR="114300">
            <wp:extent cx="3392805" cy="1796415"/>
            <wp:effectExtent l="0" t="0" r="10795" b="698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92805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84B16">
      <w:pPr>
        <w:numPr>
          <w:ilvl w:val="0"/>
          <w:numId w:val="0"/>
        </w:numPr>
        <w:ind w:left="560" w:leftChars="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2.红河县—竹编</w:t>
      </w:r>
    </w:p>
    <w:p w14:paraId="4C4F21C8">
      <w:pPr>
        <w:widowControl w:val="0"/>
        <w:numPr>
          <w:ilvl w:val="0"/>
          <w:numId w:val="0"/>
        </w:numPr>
        <w:ind w:firstLine="52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2025年8月7日-11日，在红河县哈尼梯田生态保护学校举办一次工匠学堂培训，聚焦30名竹编合作社负责人及竹编产业创业青年的经营软实力提升。</w:t>
      </w:r>
    </w:p>
    <w:p w14:paraId="266A7B7C">
      <w:pPr>
        <w:widowControl w:val="0"/>
        <w:numPr>
          <w:ilvl w:val="0"/>
          <w:numId w:val="0"/>
        </w:numPr>
        <w:ind w:firstLine="52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提升打造一个传承空间，通过对甲寅镇龙普村原有500平方米竹艺展销中心的提升改造，建成了一个集“挖掘资源、传承培育、创新创作、展示交流”于一体的综合性平台。</w:t>
      </w:r>
    </w:p>
    <w:p w14:paraId="5BCEA67B">
      <w:pPr>
        <w:widowControl w:val="0"/>
        <w:numPr>
          <w:ilvl w:val="0"/>
          <w:numId w:val="0"/>
        </w:numPr>
        <w:jc w:val="center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3564890" cy="2005965"/>
            <wp:effectExtent l="0" t="0" r="3810" b="635"/>
            <wp:docPr id="15" name="图片 15" descr="dc6212a51c7f7758405d6ca8e0983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c6212a51c7f7758405d6ca8e098306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64890" cy="200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76788">
      <w:pPr>
        <w:widowControl w:val="0"/>
        <w:numPr>
          <w:ilvl w:val="0"/>
          <w:numId w:val="0"/>
        </w:numPr>
        <w:ind w:firstLine="52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与红河县残疾人联合会合作开展学徒培训，培训历时近三个月，课程设计循序渐进，分为基础阶段、进阶阶段、高级阶段，30名学员全部顺利结业。成功开发3大系列、5款竹编茶叶礼盒原型。</w:t>
      </w:r>
    </w:p>
    <w:p w14:paraId="0BE93A13">
      <w:pPr>
        <w:numPr>
          <w:ilvl w:val="0"/>
          <w:numId w:val="0"/>
        </w:numPr>
        <w:ind w:left="560" w:leftChars="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3.代县—古建木雕</w:t>
      </w:r>
    </w:p>
    <w:p w14:paraId="277D7535">
      <w:pPr>
        <w:widowControl w:val="0"/>
        <w:numPr>
          <w:ilvl w:val="0"/>
          <w:numId w:val="0"/>
        </w:numPr>
        <w:jc w:val="left"/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 xml:space="preserve">   7-9月，代县完成传承空间打造提升工作。</w:t>
      </w:r>
    </w:p>
    <w:p w14:paraId="0E4D3447">
      <w:pPr>
        <w:widowControl w:val="0"/>
        <w:numPr>
          <w:ilvl w:val="0"/>
          <w:numId w:val="0"/>
        </w:numPr>
        <w:jc w:val="center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38730" cy="1429385"/>
            <wp:effectExtent l="0" t="0" r="1270" b="571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38730" cy="142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38730" cy="1429385"/>
            <wp:effectExtent l="0" t="0" r="1270" b="571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38730" cy="142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E3E5A">
      <w:pPr>
        <w:numPr>
          <w:ilvl w:val="0"/>
          <w:numId w:val="0"/>
        </w:numPr>
        <w:ind w:left="560" w:leftChars="0"/>
        <w:jc w:val="left"/>
        <w:rPr>
          <w:rFonts w:hint="default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4.</w:t>
      </w:r>
      <w:r>
        <w:rPr>
          <w:rFonts w:hint="default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龙山</w:t>
      </w: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县—</w:t>
      </w:r>
      <w:r>
        <w:rPr>
          <w:rFonts w:hint="default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土家织锦</w:t>
      </w:r>
    </w:p>
    <w:p w14:paraId="12F4B4B0">
      <w:pPr>
        <w:widowControl w:val="0"/>
        <w:numPr>
          <w:ilvl w:val="0"/>
          <w:numId w:val="0"/>
        </w:numPr>
        <w:ind w:firstLine="520"/>
        <w:jc w:val="both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7月20日，乡村工匠（土家织锦）项目完成挖掘资源中线上展厅及参加各地营销会。8月5日，乡村工匠（土家织锦）项目完成品牌宣传，市场推广。8月17日，乡村工匠（土家织锦）项目完成产业带动原材料发放，用于学员制作织锦产品，为学员提供稳定的收入。8月26日，乡村工匠（土家织锦）项目完成开展管理人员、企业负责人、研学基地工作人员培训，共8期，累计培训人数160人。9月2日，乡村工匠（土家织锦）项目完成创新产品开发。9月12日，乡村工匠（土家织锦）项目成效片启动拍摄，10月完成拍摄工作。</w:t>
      </w:r>
    </w:p>
    <w:p w14:paraId="4E67C8CB">
      <w:pPr>
        <w:numPr>
          <w:ilvl w:val="0"/>
          <w:numId w:val="0"/>
        </w:numPr>
        <w:ind w:left="560" w:leftChars="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4423410" cy="2269490"/>
            <wp:effectExtent l="0" t="0" r="8890" b="3810"/>
            <wp:docPr id="10" name="图片 10" descr="推荐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推荐会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23410" cy="226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B8A5F"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5.兴安县—桂林米粉</w:t>
      </w:r>
    </w:p>
    <w:p w14:paraId="467025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完成1套规范的《桂林米粉制作技艺培训教材》审定与开发，教材内容既包含桂林米粉历史文化、传统制作工艺标准（如石磨制浆的水量配比、蒸粉的温度时间控制），也涵盖现代生产规范（如食品卫生安全要求）及创业指导（如米粉店选址、成本核算），为桂林米粉技艺的标准化传承提供系统支撑，可作为后续米粉师傅培训的统一教学资料。</w:t>
      </w:r>
    </w:p>
    <w:p w14:paraId="6D3387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default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完成两类桂林米粉堂食创新产品的设计、研发，创新产品充分结合兴安本地口味特色与健康饮食趋势，如“非遗肉沫豆酱粉”“马排肉拌粉”，丰富了桂林米粉的产品品类，满足不同消费群体（如年轻时尚群体）的需求。</w:t>
      </w:r>
    </w:p>
    <w:p w14:paraId="77F1543F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（二）阿里巴巴-乡村工匠赋能计划</w:t>
      </w:r>
    </w:p>
    <w:p w14:paraId="1FBB6E6A">
      <w:pPr>
        <w:numPr>
          <w:ilvl w:val="0"/>
          <w:numId w:val="0"/>
        </w:numPr>
        <w:ind w:left="560" w:leftChars="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1.平安月饼</w:t>
      </w:r>
    </w:p>
    <w:p w14:paraId="2CB353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7-9月，准备结项材料。</w:t>
      </w:r>
    </w:p>
    <w:p w14:paraId="0943A9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center"/>
        <w:textAlignment w:val="auto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default" w:ascii="微软雅黑" w:hAnsi="微软雅黑" w:eastAsia="微软雅黑" w:cs="微软雅黑"/>
          <w:color w:val="000000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394710" cy="1704340"/>
            <wp:effectExtent l="0" t="0" r="8890" b="10160"/>
            <wp:docPr id="9" name="图片 9" descr="ff24e80aef79ce43717215b76992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f24e80aef79ce43717215b7699277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94710" cy="170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1F41B">
      <w:pPr>
        <w:widowControl w:val="0"/>
        <w:numPr>
          <w:ilvl w:val="0"/>
          <w:numId w:val="0"/>
        </w:numPr>
        <w:jc w:val="left"/>
        <w:rPr>
          <w:rFonts w:hint="default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 xml:space="preserve">  </w:t>
      </w: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 xml:space="preserve">  2.石阡苔茶</w:t>
      </w:r>
    </w:p>
    <w:p w14:paraId="78199122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7月，乡村工匠助力乡村振兴（石阡苔茶）项目完成宣传拍摄设备采购，同时开展传承空间进一步扩展提升。8月，完成石阡苔茶制作技艺宣传片制作及修改。9月4日至10日，组织16位石阡县乡村工匠相关群体到浙江大学参加培训学习。</w:t>
      </w:r>
    </w:p>
    <w:p w14:paraId="62012FE7"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3.寨篙麻饼</w:t>
      </w:r>
    </w:p>
    <w:p w14:paraId="2A0BA841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 xml:space="preserve">7月，乡村工匠助力乡村振兴（寨蒿麻饼）项目开展麻饼相关材料梳理、传承空间布局设计。8月，开展传承空间硬装施工，完成主体布局建设。9月，布置传承空间各功能区上墙内容，并完成生产设备采购。9月4日至10日，组织19位榕江县乡村工匠相关群体到浙江大学参加培训学习。 </w:t>
      </w:r>
    </w:p>
    <w:p w14:paraId="3141F539">
      <w:pPr>
        <w:numPr>
          <w:ilvl w:val="0"/>
          <w:numId w:val="1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中国石油-乡村工匠赋能计划</w:t>
      </w:r>
    </w:p>
    <w:p w14:paraId="2EA5751C">
      <w:pPr>
        <w:widowControl w:val="0"/>
        <w:numPr>
          <w:ilvl w:val="0"/>
          <w:numId w:val="0"/>
        </w:numPr>
        <w:ind w:left="560" w:leftChars="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1.四川若尔盖县藏香制作技艺</w:t>
      </w:r>
    </w:p>
    <w:p w14:paraId="6CB0EBDC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通过“普惠培训”组织24名学员集中开展15天的技能培训，其中有8名脱贫户，2名残疾人。开展创新产品设计3款，打造传承空间，目前已开馆。前往北京、成都等地开展宣传推介活动，拍摄短视频进行传播。</w:t>
      </w:r>
    </w:p>
    <w:p w14:paraId="397444DF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2381250" cy="1786255"/>
            <wp:effectExtent l="0" t="0" r="6350" b="4445"/>
            <wp:docPr id="5" name="图片 5" descr="7d63b751b910c2275606ce68cb494f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d63b751b910c2275606ce68cb494f1a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 xml:space="preserve"> </w:t>
      </w: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2379980" cy="1785620"/>
            <wp:effectExtent l="0" t="0" r="7620" b="5080"/>
            <wp:docPr id="6" name="图片 6" descr="06b48dcd0a2b038275f54036a6066e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6b48dcd0a2b038275f54036a6066e0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79980" cy="178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042B2"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2.新疆察县锡伯族刺绣制作技艺</w:t>
      </w:r>
    </w:p>
    <w:p w14:paraId="4AFB6D0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完成800平米锡伯族刺绣传承空间打造提升，依托石河子大学非遗中心的专家团队做文化挖掘与梳理，目前已形成研究资料的基础框架、人物故事梳理的基础框架。</w:t>
      </w:r>
    </w:p>
    <w:p w14:paraId="79DF127A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2749550" cy="2062480"/>
            <wp:effectExtent l="0" t="0" r="6350" b="7620"/>
            <wp:docPr id="12" name="图片 12" descr="4968d8cffef05bf1aa493ec0f0d59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968d8cffef05bf1aa493ec0f0d597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1558290" cy="2078990"/>
            <wp:effectExtent l="0" t="0" r="3810" b="3810"/>
            <wp:docPr id="14" name="图片 14" descr="c220db5ad2ae4503d15241f18e04c3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220db5ad2ae4503d15241f18e04c3a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207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7CC77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（四）恒星引力-非遗进校园项目</w:t>
      </w:r>
    </w:p>
    <w:p w14:paraId="2E6EDF38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1.红河竹编</w:t>
      </w:r>
    </w:p>
    <w:p w14:paraId="34FE144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9月18-19日，10月11日，分别在甲寅中学和龙普村委会麻栗寨进行了三期“非遗进校园”活动，通过传承人的展示与互动教学，学生们亲手体验了竹编技艺。现场氛围热烈，同学们在动手实践中深刻感受到非遗魅力，增强了文化认同与保护意识。活动有效搭建了非遗与青少年之间的桥梁，让传统文化在校园绽放新生。</w:t>
      </w:r>
    </w:p>
    <w:p w14:paraId="313DC534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2377440" cy="1783080"/>
            <wp:effectExtent l="0" t="0" r="10160" b="7620"/>
            <wp:docPr id="16" name="图片 16" descr="7b79e48916e5581db5d4a6c11a078e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7b79e48916e5581db5d4a6c11a078e1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 xml:space="preserve"> </w:t>
      </w: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2413635" cy="1810385"/>
            <wp:effectExtent l="0" t="0" r="12065" b="5715"/>
            <wp:docPr id="17" name="图片 17" descr="afb41059d96295826a1c42cf99790c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afb41059d96295826a1c42cf99790c5b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13635" cy="181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6ACA898C">
      <w:pPr>
        <w:numPr>
          <w:ilvl w:val="0"/>
          <w:numId w:val="0"/>
        </w:numPr>
        <w:ind w:firstLine="562" w:firstLineChars="200"/>
        <w:jc w:val="left"/>
        <w:rPr>
          <w:rFonts w:hint="default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（五）新茶饮公益基金-乡村工匠赋能计划（制茶技艺）</w:t>
      </w:r>
    </w:p>
    <w:p w14:paraId="133314DA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在福建、贵州、云南、四川开展5期学徒培训，参训学员136人。</w:t>
      </w:r>
    </w:p>
    <w:p w14:paraId="32621793">
      <w:pPr>
        <w:numPr>
          <w:ilvl w:val="0"/>
          <w:numId w:val="0"/>
        </w:numPr>
        <w:ind w:firstLine="560" w:firstLineChars="200"/>
        <w:jc w:val="center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3495040" cy="2327910"/>
            <wp:effectExtent l="0" t="0" r="10160" b="8890"/>
            <wp:docPr id="11" name="图片 11" descr="5b4e0a3f0a490ccef908376742ebda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5b4e0a3f0a490ccef908376742ebda5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95040" cy="232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4ED0C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（六）康师傅-乡村工匠赋能计划（眉山泡菜）</w:t>
      </w:r>
    </w:p>
    <w:p w14:paraId="3E3036B5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7-9月，在产业扶持方面，合作社购买拖拉机一台、萝卜清洗机1台，邀请四川农业大学教授开展小叶芥菜与育苗试种。</w:t>
      </w:r>
    </w:p>
    <w:p w14:paraId="56557D67"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2364740" cy="1773555"/>
            <wp:effectExtent l="0" t="0" r="10160" b="4445"/>
            <wp:docPr id="7" name="图片 7" descr="175eee81c201b7af9ef9eead5f5589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5eee81c201b7af9ef9eead5f5589bf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64740" cy="177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 xml:space="preserve"> </w:t>
      </w: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drawing>
          <wp:inline distT="0" distB="0" distL="114300" distR="114300">
            <wp:extent cx="2355850" cy="1767840"/>
            <wp:effectExtent l="0" t="0" r="6350" b="10160"/>
            <wp:docPr id="8" name="图片 8" descr="2515339140b78e0c0057a1731db75b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515339140b78e0c0057a1731db75b0b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55850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669CE"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default" w:ascii="宋体" w:hAnsi="宋体" w:cstheme="minorBidi"/>
          <w:b/>
          <w:bCs/>
          <w:kern w:val="2"/>
          <w:sz w:val="28"/>
          <w:szCs w:val="22"/>
          <w:lang w:val="en-US" w:eastAsia="zh-CN" w:bidi="ar-SA"/>
        </w:rPr>
      </w:pPr>
      <w:r>
        <w:rPr>
          <w:rFonts w:hint="eastAsia" w:ascii="宋体" w:hAnsi="宋体" w:cstheme="minorBidi"/>
          <w:b/>
          <w:bCs/>
          <w:kern w:val="2"/>
          <w:sz w:val="28"/>
          <w:szCs w:val="22"/>
          <w:lang w:val="en-US" w:eastAsia="zh-CN" w:bidi="ar-SA"/>
        </w:rPr>
        <w:t>（七）爱马仕-中国女性乡村工匠项目（刺绣）</w:t>
      </w:r>
    </w:p>
    <w:p w14:paraId="227E2CA5">
      <w:pPr>
        <w:widowControl w:val="0"/>
        <w:numPr>
          <w:ilvl w:val="0"/>
          <w:numId w:val="0"/>
        </w:numPr>
        <w:ind w:firstLine="560" w:firstLineChars="200"/>
        <w:jc w:val="left"/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</w:pP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爱马仕种子资金支持3家合作社</w:t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，</w:t>
      </w: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完成传承空间改造、学徒培养与产业扶持项目内容。同仁德吉手工艺专业合作社开展2期学徒培养，累计培训30人。确认剩余资金使用方向，支持遂宁市船山区巧绣娘工艺品加工专业合作社采购培训教学</w:t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、</w:t>
      </w:r>
      <w:r>
        <w:rPr>
          <w:rFonts w:hint="default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线上推广所需设备</w:t>
      </w:r>
      <w:r>
        <w:rPr>
          <w:rFonts w:hint="eastAsia" w:ascii="宋体" w:hAnsi="宋体" w:cstheme="minorBidi"/>
          <w:b w:val="0"/>
          <w:bCs w:val="0"/>
          <w:kern w:val="2"/>
          <w:sz w:val="28"/>
          <w:szCs w:val="22"/>
          <w:lang w:val="en-US" w:eastAsia="zh-CN" w:bidi="ar-SA"/>
        </w:rPr>
        <w:t>。</w:t>
      </w:r>
    </w:p>
    <w:sectPr>
      <w:footerReference r:id="rId7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4666AF7-110E-40F7-914C-0A26BF12519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D5141F2-E1B7-4C70-A834-94B50C86EA15}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书宋二简">
    <w:panose1 w:val="02010600000101010101"/>
    <w:charset w:val="86"/>
    <w:family w:val="auto"/>
    <w:pitch w:val="default"/>
    <w:sig w:usb0="00000001" w:usb1="080E0800" w:usb2="00000002" w:usb3="00000000" w:csb0="00040000" w:csb1="00000000"/>
    <w:embedRegular r:id="rId3" w:fontKey="{D288F4BD-ECF6-4FF6-8A69-4936A8CD435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63AFFC6-B23D-40C7-816A-D80548CC6C4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A2966547-D5F6-4865-B77D-505C995C4992}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29B897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CCCF3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56E2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0C25A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0C25A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25B69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106DC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F65BC"/>
    <w:multiLevelType w:val="singleLevel"/>
    <w:tmpl w:val="7DEF65B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66A84"/>
    <w:rsid w:val="02D60658"/>
    <w:rsid w:val="02FE14B2"/>
    <w:rsid w:val="0334789D"/>
    <w:rsid w:val="04F07081"/>
    <w:rsid w:val="0A007A6B"/>
    <w:rsid w:val="0A1F3406"/>
    <w:rsid w:val="0DC81DF6"/>
    <w:rsid w:val="0E3B2AF7"/>
    <w:rsid w:val="0FD51817"/>
    <w:rsid w:val="11300C5B"/>
    <w:rsid w:val="11F139CE"/>
    <w:rsid w:val="14EA4265"/>
    <w:rsid w:val="157C06D7"/>
    <w:rsid w:val="157E505B"/>
    <w:rsid w:val="19066A84"/>
    <w:rsid w:val="19185113"/>
    <w:rsid w:val="19410F9C"/>
    <w:rsid w:val="19ED457C"/>
    <w:rsid w:val="1A733830"/>
    <w:rsid w:val="1B811935"/>
    <w:rsid w:val="1D4515D3"/>
    <w:rsid w:val="1FBF6C6F"/>
    <w:rsid w:val="20876350"/>
    <w:rsid w:val="20A50120"/>
    <w:rsid w:val="20FB77F4"/>
    <w:rsid w:val="21190011"/>
    <w:rsid w:val="230E7E6A"/>
    <w:rsid w:val="23400B94"/>
    <w:rsid w:val="23DF2D56"/>
    <w:rsid w:val="24D80A66"/>
    <w:rsid w:val="259130BD"/>
    <w:rsid w:val="263E08AF"/>
    <w:rsid w:val="264D1248"/>
    <w:rsid w:val="26AA663B"/>
    <w:rsid w:val="275B6B14"/>
    <w:rsid w:val="28DA4193"/>
    <w:rsid w:val="29E11806"/>
    <w:rsid w:val="29F11140"/>
    <w:rsid w:val="2A2A66E8"/>
    <w:rsid w:val="2A7E3E99"/>
    <w:rsid w:val="2A9012C0"/>
    <w:rsid w:val="2C0960E1"/>
    <w:rsid w:val="2D01091C"/>
    <w:rsid w:val="2D023258"/>
    <w:rsid w:val="2DD56A00"/>
    <w:rsid w:val="2F006EEF"/>
    <w:rsid w:val="3139538B"/>
    <w:rsid w:val="32F525A8"/>
    <w:rsid w:val="34627E5E"/>
    <w:rsid w:val="34632AF2"/>
    <w:rsid w:val="361F7329"/>
    <w:rsid w:val="365F5160"/>
    <w:rsid w:val="37727331"/>
    <w:rsid w:val="39DB4368"/>
    <w:rsid w:val="39E8122B"/>
    <w:rsid w:val="3CE75DF2"/>
    <w:rsid w:val="3EB55265"/>
    <w:rsid w:val="3F2E0E16"/>
    <w:rsid w:val="3F9E1DD2"/>
    <w:rsid w:val="3FC23270"/>
    <w:rsid w:val="437A1489"/>
    <w:rsid w:val="44482714"/>
    <w:rsid w:val="46276812"/>
    <w:rsid w:val="466B2BA2"/>
    <w:rsid w:val="46CC1183"/>
    <w:rsid w:val="489C0C17"/>
    <w:rsid w:val="48E443BB"/>
    <w:rsid w:val="49AD6CD6"/>
    <w:rsid w:val="4A7E27C2"/>
    <w:rsid w:val="4A8561FD"/>
    <w:rsid w:val="4B3321B9"/>
    <w:rsid w:val="52D832F3"/>
    <w:rsid w:val="537509BB"/>
    <w:rsid w:val="55161DF7"/>
    <w:rsid w:val="561A3C9D"/>
    <w:rsid w:val="5620456F"/>
    <w:rsid w:val="568E01E7"/>
    <w:rsid w:val="574612A7"/>
    <w:rsid w:val="583006B7"/>
    <w:rsid w:val="58F33873"/>
    <w:rsid w:val="5BBC16B6"/>
    <w:rsid w:val="5CD074CF"/>
    <w:rsid w:val="5DAA0A77"/>
    <w:rsid w:val="5F06329E"/>
    <w:rsid w:val="5FA64D3F"/>
    <w:rsid w:val="61BF6E6B"/>
    <w:rsid w:val="61E3588B"/>
    <w:rsid w:val="6505577E"/>
    <w:rsid w:val="656F4510"/>
    <w:rsid w:val="696D53B5"/>
    <w:rsid w:val="696E24D3"/>
    <w:rsid w:val="6A2E00D9"/>
    <w:rsid w:val="6A8B6AC0"/>
    <w:rsid w:val="6B0A66DC"/>
    <w:rsid w:val="6BA173F5"/>
    <w:rsid w:val="6C5F6456"/>
    <w:rsid w:val="6F712003"/>
    <w:rsid w:val="700A75FA"/>
    <w:rsid w:val="73D96C7F"/>
    <w:rsid w:val="74590A1D"/>
    <w:rsid w:val="75E74F8A"/>
    <w:rsid w:val="77C4399B"/>
    <w:rsid w:val="78EB6C36"/>
    <w:rsid w:val="7A642069"/>
    <w:rsid w:val="7AED7D77"/>
    <w:rsid w:val="7B144F61"/>
    <w:rsid w:val="7B9114EF"/>
    <w:rsid w:val="7BBC740E"/>
    <w:rsid w:val="7C1D7794"/>
    <w:rsid w:val="7C370855"/>
    <w:rsid w:val="7CF23E52"/>
    <w:rsid w:val="7E11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Lines="0" w:beforeAutospacing="0" w:afterLines="0" w:afterAutospacing="0" w:line="560" w:lineRule="exact"/>
      <w:jc w:val="both"/>
      <w:outlineLvl w:val="0"/>
    </w:pPr>
    <w:rPr>
      <w:rFonts w:ascii="Calibri" w:hAnsi="Calibri" w:eastAsia="黑体" w:cs="Times New Roman"/>
      <w:bCs/>
      <w:kern w:val="44"/>
      <w:szCs w:val="44"/>
      <w:lang w:bidi="ar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line="240" w:lineRule="auto"/>
      <w:outlineLvl w:val="1"/>
    </w:pPr>
    <w:rPr>
      <w:rFonts w:eastAsia="楷体" w:asciiTheme="majorAscii" w:hAnsiTheme="majorAscii" w:cstheme="majorBidi"/>
      <w:b/>
      <w:bCs/>
      <w:sz w:val="28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character" w:customStyle="1" w:styleId="8">
    <w:name w:val="标题 2 字符"/>
    <w:link w:val="3"/>
    <w:autoRedefine/>
    <w:qFormat/>
    <w:uiPriority w:val="0"/>
    <w:rPr>
      <w:rFonts w:eastAsia="楷体" w:asciiTheme="majorAscii" w:hAnsiTheme="majorAscii" w:cstheme="majorBidi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2140</Words>
  <Characters>2233</Characters>
  <Lines>0</Lines>
  <Paragraphs>0</Paragraphs>
  <TotalTime>0</TotalTime>
  <ScaleCrop>false</ScaleCrop>
  <LinksUpToDate>false</LinksUpToDate>
  <CharactersWithSpaces>2244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2025-04-24T01:50:00Z</dcterms:created>
  <dc:creator>荔质岚心</dc:creator>
  <cp:lastModifiedBy>慕徽雨</cp:lastModifiedBy>
  <dcterms:modified xsi:type="dcterms:W3CDTF">2025-10-29T02:19:14Z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72898E2C16C04264A067948FBF448E81_11</vt:lpwstr>
  </property>
  <property fmtid="{D5CDD505-2E9C-101B-9397-08002B2CF9AE}" pid="4" name="KSOTemplateDocerSaveRecord">
    <vt:lpwstr>eyJoZGlkIjoiMTQwMzZhNmJiNTQ5ZTFmNDlmMzYxMzRiNDk4MzQ4MzkiLCJ1c2VySWQiOiIyNTg5MTQxNTIifQ==</vt:lpwstr>
  </property>
</Properties>
</file>